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Studieblad</w:t>
      </w:r>
    </w:p>
    <w:p>
      <w:pPr>
        <w:pStyle w:val="Heading1"/>
        <w:spacing w:lineRule="auto"/>
      </w:pPr>
      <w:r>
        <w:rPr/>
        <w:t xml:space="preserve">Voor het aangezicht van God</w:t>
      </w:r>
    </w:p>
    <w:p>
      <w:pPr>
        <w:spacing w:lineRule="auto"/>
      </w:pPr>
      <w:r>
        <w:rPr>
          <w:b/>
        </w:rPr>
        <w:t xml:space="preserve">Tora:</w:t>
      </w:r>
      <w:r>
        <w:rPr/>
        <w:t xml:space="preserve"> Leviticus 16:1–34</w:t>
      </w:r>
    </w:p>
    <w:p>
      <w:pPr>
        <w:spacing w:lineRule="auto"/>
      </w:pPr>
      <w:r>
        <w:rPr/>
        <w:t xml:space="preserve">  ·  </w:t>
      </w:r>
    </w:p>
    <w:p>
      <w:pPr>
        <w:spacing w:lineRule="auto"/>
      </w:pPr>
      <w:r>
        <w:rPr>
          <w:b/>
        </w:rPr>
        <w:t xml:space="preserve">Haftara:</w:t>
      </w:r>
      <w:r>
        <w:rPr/>
        <w:t xml:space="preserve"> Jesaja 57:14–58:14</w:t>
      </w:r>
    </w:p>
    <w:p>
      <w:pPr>
        <w:spacing w:lineRule="auto"/>
      </w:pPr>
      <w:r>
        <w:rPr/>
        <w:t xml:space="preserve">  ·  </w:t>
      </w:r>
    </w:p>
    <w:p>
      <w:pPr>
        <w:spacing w:lineRule="auto"/>
      </w:pPr>
      <w:r>
        <w:rPr>
          <w:b/>
        </w:rPr>
        <w:t xml:space="preserve">Evangelie:</w:t>
      </w:r>
      <w:r>
        <w:rPr/>
        <w:t xml:space="preserve"> Mattheüs 25:31–46</w:t>
      </w:r>
    </w:p>
    <w:p>
      <w:pPr>
        <w:spacing w:lineRule="auto"/>
      </w:pPr>
      <w:r>
        <w:rPr/>
        <w:t xml:space="preserve">Yom Kippur begint niet bij onze beleving maar bij Gods heiligheid: Aäron nadert op Gods weg, ontvangt verzoening eerst voor zichzelf, en de schuld wordt weggedragen — “voor het aangezicht van de HEERE zult u rein zijn”. Jesaja 58 ontmaskert een vasten dat vorm blijft, en Mattheüs 25 toetst de vrucht: wie werkelijk van verzoening leeft, kan de geringste niet onzichtbaar laten worden. Hebreeën 9–10 wijst naar Yeshua, de Hogepriester die door eigen bloed “voor het aangezicht van God, voor ons” verschijnt.</w:t>
      </w:r>
    </w:p>
    <w:p>
      <w:pPr>
        <w:pStyle w:val="Heading2"/>
        <w:spacing w:lineRule="auto"/>
      </w:pPr>
      <w:r>
        <w:rPr/>
        <w:t xml:space="preserve">§0 Waarnemingsronde</w:t>
      </w:r>
    </w:p>
    <w:p>
      <w:pPr>
        <w:pStyle w:val="Heading3"/>
        <w:spacing w:lineRule="auto"/>
      </w:pPr>
      <w:r>
        <w:rPr/>
        <w:t xml:space="preserve">0.1 Blinde waarneming</w:t>
      </w:r>
    </w:p>
    <w:p>
      <w:pPr>
        <w:spacing w:lineRule="auto"/>
      </w:pPr>
      <w:r>
        <w:rPr/>
        <w:t xml:space="preserve">Leviticus 16 opent ná de dood van Nadab en Abihu (16:1): naderen tot God is niet vanzelfsprekend. Aäron mag niet op elk moment binnengaan, en moet eerst voor zichzelf verzoening doen (16:6,11) vóór hij voor het volk kan naderen. Niet alleen mensen maar ook het heiligdom wordt gereinigd (16:16): zonde raakt de heilige ruimte. Twee bokken (16:8–10): één voor de HEERE, één voor Azazel, weggevoerd met de beleden schuld (16:21–22) — zonde wordt benoemd én weggedragen. Het geheel is “éénmaal per jaar” (16:34), en de kern: “voor het aangezicht van de HEERE zult u rein zijn” (16:30). Slot: verootmoediging én sabbatsrust (16:29–31). Jesaja 58 ontmaskert een vasten dat vorm blijft en onrecht verbergt; Mattheüs 25 scheidt schapen en bokken op de omgang met de geringste.</w:t>
      </w:r>
    </w:p>
    <w:p>
      <w:pPr>
        <w:pStyle w:val="Heading3"/>
        <w:spacing w:lineRule="auto"/>
      </w:pPr>
      <w:r>
        <w:rPr/>
        <w:t xml:space="preserve">0.2 De vier assen als open vraag</w:t>
      </w:r>
    </w:p>
    <w:p>
      <w:pPr>
        <w:spacing w:lineRule="auto"/>
      </w:pPr>
      <w:r>
        <w:rPr/>
        <w:t xml:space="preserve">Valt het gewicht op wat God is en doet (Bron: heiligheid, verzoening als Gods werk), op de heelheid tussen binnen en buiten (Coherentie: ontvangen verzoening ↔ omgang met de naaste), op de respons (Wil: verootmoedigen, rusten, ontvangen), of op de beweging door de tijd (Traject: de moadiem, en de vervulling in Yeshua)?</w:t>
      </w:r>
    </w:p>
    <w:p>
      <w:pPr>
        <w:pStyle w:val="Heading3"/>
        <w:spacing w:lineRule="auto"/>
      </w:pPr>
      <w:r>
        <w:rPr/>
        <w:t xml:space="preserve">0.3 Afgelezen zwaartepunt</w:t>
      </w:r>
    </w:p>
    <w:p>
      <w:pPr>
        <w:spacing w:lineRule="auto"/>
      </w:pPr>
      <w:r>
        <w:rPr/>
        <w:t xml:space="preserve">🟢 Dragend zijn </w:t>
      </w:r>
      <w:r>
        <w:rPr>
          <w:b/>
        </w:rPr>
        <w:t xml:space="preserve">Bron</w:t>
      </w:r>
      <w:r>
        <w:rPr/>
        <w:t xml:space="preserve"> en </w:t>
      </w:r>
      <w:r>
        <w:rPr>
          <w:b/>
        </w:rPr>
        <w:t xml:space="preserve">Coherentie</w:t>
      </w:r>
      <w:r>
        <w:rPr/>
        <w:t xml:space="preserve">: God is heilig en gééft de verzoening (Aäron nadert op Gods weg; reiniging “voor Zijn aangezicht”), en juist die ontvangen verzoening wordt zichtbaar in hoe wij de geringste behandelen (Jes. 58 / Matt. 25). Zwaartepunt: voor het aangezicht van God staan — en wie daar geweest is, kan de ander niet onzichtbaar laten worden.</w:t>
      </w:r>
    </w:p>
    <w:p>
      <w:pPr>
        <w:pStyle w:val="Heading3"/>
        <w:spacing w:lineRule="auto"/>
      </w:pPr>
      <w:r>
        <w:rPr/>
        <w:t xml:space="preserve">0.4 Framing-toets</w:t>
      </w:r>
    </w:p>
    <w:p>
      <w:pPr>
        <w:spacing w:lineRule="auto"/>
      </w:pPr>
      <w:r>
        <w:rPr/>
        <w:t xml:space="preserve">🔴 Bewaakt. De weekreflex landt op “ontvangen”; hier is dat gegrond (verzoening is Gods werk, 16:30), máár de tekst en de constellatie duwen door naar Coherentie (binnen↔buiten). Twee bewakingen: (1) de omslag naar de naaste mag geen werk-gerechtigheid worden — vrucht toont de wortel, is niet de wortel (Matt. 25 keert Lev. 16 niet om); (2) de Hebreeën-laag mag Leviticus 16 niet platslaan tot één-op-één-symboliek: het patroon wijst, het rekent niet af.</w:t>
      </w:r>
    </w:p>
    <w:p>
      <w:pPr>
        <w:pStyle w:val="Heading2"/>
        <w:spacing w:lineRule="auto"/>
      </w:pPr>
      <w:r>
        <w:rPr/>
        <w:t xml:space="preserve">§1 De draad</w:t>
      </w:r>
    </w:p>
    <w:p>
      <w:pPr>
        <w:spacing w:lineRule="auto"/>
      </w:pPr>
      <w:r>
        <w:rPr/>
        <w:t xml:space="preserve">Verzoening begint bij Gods heiligheid, niet bij onze beleving; wij ontvangen toegang, wij grijpen haar niet. De schuld wordt niet alleen benoemd maar weggedragen — en wie ontvangt dat God hém ziet en zijn schuld wegdraagt, begint de ander te zien en stopt met het vasthouden van andermans schuld.</w:t>
      </w:r>
    </w:p>
    <w:p>
      <w:pPr>
        <w:pStyle w:val="Heading2"/>
        <w:spacing w:lineRule="auto"/>
      </w:pPr>
      <w:r>
        <w:rPr/>
        <w:t xml:space="preserve">§2 Peshat per blok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Tekstblok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staat er?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Sleutelwoord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vraag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Lev. 16:1–5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Ná Nadab/Abihu: niet op elk moment binnengaan; Aäron nadert met offers.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naderen · heiligheid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begint de dag bij Gods heiligheid, niet bij 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16:6–14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Eerst verzoening voor de priester en zijn huis; bloed op/vóór het verzoendeksel.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eerst voor zichzelf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nadert de hogepriester als afhankelijke?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16:15–19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Ook het heiligdom wordt gereinigd van de onreinheden van Israël.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heiligdom gereinigd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Hoe raakt zonde de gemeenschappelijke ruimte?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Handen op de levende bok, belijdenis, wegvoeren naar Azazel in de woestijn.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benoemen ↔ wegdragen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betekent “weggedragen” voor beleden schuld?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16:23–28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Reiniging, brandoffers; wie de bok wegbracht wast zich.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reiniging · buiten het kamp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raakt zelfs het wegbrengen aan onreinheid?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Verootmoediging, geen werk, sabbatsrust; “voor de HEERE rein”; éénmaal per jaar.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verootmoediging + rust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Hoe gaan verootmoediging en rust samen?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Jes. 57:14–58:14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Vasten dat vorm blijft vs. het vasten dat God kiest: recht, brood, de naakte kleden; recht én sabbat.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vorm ↔ recht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vorm een schuilplaats?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25:31–46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Schapen/bokken gescheiden op de omgang met de geringste = met Yeshua zelf.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geringste · verrassing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toont de vrucht over de wortel?</w:t>
            </w:r>
          </w:p>
        </w:tc>
      </w:tr>
    </w:tbl>
    <w:p>
      <w:pPr>
        <w:spacing w:lineRule="auto"/>
      </w:pPr>
      <w:r>
        <w:rPr/>
      </w:r>
    </w:p>
    <w:p>
      <w:pPr>
        <w:pStyle w:val="Heading2"/>
        <w:spacing w:lineRule="auto"/>
      </w:pPr>
      <w:r>
        <w:rPr/>
        <w:t xml:space="preserve">§3 Twee dragende assen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Tekstankers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 (heiligheid) · 16:16,30 (God reinigt) · Heb. 9:12,24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God is heilig en gééft de verzoening; rein worden gebeurt “voor Zijn aangezicht”, niet op afstand.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is nabijheid alleen langs deze weg mogelijk?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16:16 (heiligdom) · Jes. 58:3–7 · Matt. 25:40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tweede pool. Binnen (verzoend hart) en buiten (omgang met de geringste) horen samen; vorm losgezongen van leven verbergt onrecht.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“de ander zien” een nieuw prestatiebewijs?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16:29–31 (verootmoedigen/rusten) · Jes. 58:6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 geen bron: verootmoedigen, rusten, ontvangen — niet zelf het bloed of de weg zijn.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verootmoediging een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Teruah → Sjoeva → Kippur · Heb.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Dienend. De moadiem lopen op deze dag uit; Hebreeën wijst naar de vervulling in Yeshua.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Vooruitwijzing of eigen kern?</w:t>
            </w:r>
          </w:p>
        </w:tc>
      </w:tr>
    </w:tbl>
    <w:p>
      <w:pPr>
        <w:spacing w:lineRule="auto"/>
      </w:pPr>
      <w:r>
        <w:rPr/>
      </w:r>
    </w:p>
    <w:p>
      <w:pPr>
        <w:pStyle w:val="Heading2"/>
        <w:spacing w:lineRule="auto"/>
      </w:pPr>
      <w:r>
        <w:rPr/>
        <w:t xml:space="preserve">§4 Bronnenronde</w:t>
      </w:r>
    </w:p>
    <w:p>
      <w:pPr>
        <w:spacing w:lineRule="auto"/>
      </w:pPr>
      <w:r>
        <w:rPr/>
        <w:t xml:space="preserve">Van de Giessen dekt Leviticus niet (wel Genesis 1–25 en Deut. 18–34); de getuigen zijn geverifieerd via Sefaria.</w:t>
      </w:r>
    </w:p>
    <w:p>
      <w:pPr>
        <w:spacing w:lineRule="auto"/>
      </w:pPr>
      <w:r>
        <w:rPr/>
        <w:t xml:space="preserve">🟢/🟡 </w:t>
      </w:r>
      <w:r>
        <w:rPr>
          <w:b/>
        </w:rPr>
        <w:t xml:space="preserve">Azazel (16:8) — vier lijnen.</w:t>
      </w:r>
      <w:r>
        <w:rPr/>
        <w:t xml:space="preserve"> (a) Peshat/vertaling: “de bok die wéggaat / wordt weggezonden” — zo las de LXX (apopompaios), en zo “scapegoat” (KJV) 🟢; dit draagt het “weggedragen”-motief. (b) Plaats: een harde, steile berg/klip (Yoma; Saädja Gaon: een bergnaam) 🟡. (c) Woestijnmacht: Ibn Ezra verbergt een “geheim” (“als je 33 bent, zul je het weten”); Ramban ontcijfert het als een demonische macht — mét de nadrukkelijke guard dat de bok géén offer áán die macht is, maar op Gods bevel naar diens domein wordt gezonden, terwijl de verzoening “voor de HEERE” geschiedt 🟡. (d) Aggada: Uzza/Aza’el, de gevallen “zonen Gods” (Yoma 67b) 🟡.</w:t>
      </w:r>
    </w:p>
    <w:p>
      <w:pPr>
        <w:spacing w:lineRule="auto"/>
      </w:pPr>
      <w:r>
        <w:rPr/>
        <w:t xml:space="preserve">🟢 </w:t>
      </w:r>
      <w:r>
        <w:rPr>
          <w:b/>
        </w:rPr>
        <w:t xml:space="preserve">Chok (Yoma 67b / Lev. 18:4).</w:t>
      </w:r>
      <w:r>
        <w:rPr/>
        <w:t xml:space="preserve"> De weggezonden bok staat in de rij van inzettingen die “de satan” en de volken bespotten als onredelijk; “Ik ben de HEERE, Ik heb het ingesteld”. Discipline-notitie: de rite is een decreet, geen te-rationaliseren mechaniek — rood tegen over-verklaring.</w:t>
      </w:r>
    </w:p>
    <w:p>
      <w:pPr>
        <w:spacing w:lineRule="auto"/>
      </w:pPr>
      <w:r>
        <w:rPr/>
        <w:t xml:space="preserve">🟢 </w:t>
      </w:r>
      <w:r>
        <w:rPr>
          <w:b/>
        </w:rPr>
        <w:t xml:space="preserve">“Voor het aangezicht” (16:30; Yoma).</w:t>
      </w:r>
      <w:r>
        <w:rPr/>
        <w:t xml:space="preserve"> “lifnei HaSjem tit'haroe” — rein wórden geschiedt vóór Hem; in de tempeldienst vielen priesters en volk neer bij het horen van de uitgesproken Naam. Verankert de titel van de dag.</w:t>
      </w:r>
    </w:p>
    <w:p>
      <w:pPr>
        <w:spacing w:lineRule="auto"/>
      </w:pPr>
      <w:r>
        <w:rPr/>
        <w:t xml:space="preserve">🔵 </w:t>
      </w:r>
      <w:r>
        <w:rPr>
          <w:b/>
        </w:rPr>
        <w:t xml:space="preserve">Hebreeën 9–10 (belijdend).</w:t>
      </w:r>
      <w:r>
        <w:rPr/>
        <w:t xml:space="preserve"> Yeshua gaat door eigen bloed éénmaal het ware heiligdom binnen en verschijnt “voor het aangezicht van God, voor ons” (9:12,24). Horizon, geen platte typologie: het patroon (priester, bloed, toegang, verzoening) wijst; het bepaalt de peshat van Leviticus 16 niet.</w:t>
      </w:r>
    </w:p>
    <w:p>
      <w:pPr>
        <w:spacing w:lineRule="auto"/>
      </w:pPr>
      <w:r>
        <w:rPr/>
        <w:t xml:space="preserve">⚪ </w:t>
      </w:r>
      <w:r>
        <w:rPr>
          <w:b/>
        </w:rPr>
        <w:t xml:space="preserve">Onkelos</w:t>
      </w:r>
      <w:r>
        <w:rPr/>
        <w:t xml:space="preserve"> op 16:8 (Azazel als plaats?): nog te verifiëren.</w:t>
      </w:r>
    </w:p>
    <w:p>
      <w:pPr>
        <w:spacing w:lineRule="auto"/>
      </w:pPr>
      <w:r>
        <w:rPr>
          <w:b/>
        </w:rPr>
        <w:t xml:space="preserve">Revisiepoort.</w:t>
      </w:r>
      <w:r>
        <w:rPr/>
        <w:t xml:space="preserve"> Veranderde de ronde het zwaartepunt? Bevestigend en scherpend: de peshat “weggezonden” draagt Bron/wegdragen; de chok-notitie bewaakt tegen over-verklaren; en “voor het aangezicht” verankert het zwaartepunt — zonder de reflex tot vlakke overgave te laten worden.</w:t>
      </w:r>
    </w:p>
    <w:p>
      <w:pPr>
        <w:pStyle w:val="Heading2"/>
        <w:spacing w:lineRule="auto"/>
      </w:pPr>
      <w:r>
        <w:rPr/>
        <w:t xml:space="preserve">§5 Richtingstoets als horizon</w:t>
      </w:r>
    </w:p>
    <w:p>
      <w:pPr>
        <w:spacing w:lineRule="auto"/>
      </w:pPr>
      <w:r>
        <w:rPr/>
        <w:t xml:space="preserve">🔵 Belijdend. Mattheüs 25 toetst de vrucht van ontvangen verzoening: wie werkelijk voor Gods aangezicht heeft gestaan, kan de hongerige, de vreemdeling en de gevangene niet onzichtbaar laten worden — “wat u voor de geringste deed, deed u voor Mij”. En Hebreeën 9–10 belijdt Yeshua als de Hogepriester die de weg opende. 🔴 Bewaakt: Matt. 25 en Heb. 9–10 bepalen de peshat van Leviticus 16 niet; beide zijn horizon. En de omslag naar de naaste is vrucht, geen prijs — Lev. 16 blijft: de verzoening komt eerst van God.</w:t>
      </w:r>
    </w:p>
    <w:p>
      <w:pPr>
        <w:pStyle w:val="Heading2"/>
        <w:spacing w:lineRule="auto"/>
      </w:pPr>
      <w:r>
        <w:rPr/>
        <w:t xml:space="preserve">§6 Statustabel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Naderen is niet vanzelfsprekend; verzoening is Gods werk; rein “voor Zijn aangezicht” (16:2,30)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Schuld wordt benoemd én weggedragen (twee bokken, 16:21–22); het heiligdom zelf gereinigd (16:16)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Ontvangen verzoening zichtbaar in de omgang met de geringste (Jes. 58 / Matt. 25:40)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Azazel als “weggezonden bok” (LXX/peshat)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peshat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Azazel als berg / woestijnmacht (Yoma; Ibn Ezra/Ramban) en Uzza/Aza’el (Yoma 67b)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suggestief (rabbijns/aggada)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 bok als chok — decreet, geen te-rationaliseren mechaniek (Lev. 18:4)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dragend (discipline)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Reflex-landing op vlakke “ontvangen”; “de ander zien” als prestatiebewijs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bewaking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Yeshua als Hogepriester “voor het aangezicht van God, voor ons” (Heb. 9–10)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belijdend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Onkelos op 16:8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open verificatiepunt</w:t>
            </w:r>
          </w:p>
        </w:tc>
      </w:tr>
    </w:tbl>
    <w:p>
      <w:pPr>
        <w:spacing w:lineRule="auto"/>
      </w:pPr>
      <w:r>
        <w:rPr/>
      </w:r>
    </w:p>
    <w:p>
      <w:pPr>
        <w:pStyle w:val="Heading2"/>
        <w:spacing w:lineRule="auto"/>
      </w:pPr>
      <w:r>
        <w:rPr/>
        <w:t xml:space="preserve">§7 Podcast-vertaalslag</w:t>
      </w:r>
    </w:p>
    <w:p>
      <w:pPr>
        <w:spacing w:lineRule="auto"/>
      </w:pPr>
      <w:r>
        <w:rPr/>
        <w:t xml:space="preserve">Eén fysiek beeld: het volk dat de bok ziet vertrekken — steeds verder, tot hij uit het zicht is. Wat beleden is, hoef je niet te blijven koesteren alsof vasthouden méér eerbied toont; God draagt het weg. En de tweede helft: wie zó ontvangen heeft, komt naar buiten en ziet ineens de mens die hij eerst voorbijliep.</w:t>
      </w:r>
    </w:p>
    <w:p>
      <w:pPr>
        <w:pStyle w:val="Heading2"/>
        <w:spacing w:lineRule="auto"/>
      </w:pPr>
      <w:r>
        <w:rPr/>
        <w:t xml:space="preserve">§8 Bronverantwoording</w:t>
      </w:r>
    </w:p>
    <w:p>
      <w:pPr>
        <w:spacing w:lineRule="auto"/>
      </w:pPr>
      <w:r>
        <w:rPr/>
        <w:t xml:space="preserve">Azazel-lijnen (LXX/peshat; Yoma 67b; Ibn Ezra en Ramban op 16:8; Saädja) en de chok-notitie (Lev. 18:4) — via Sefaria geverifieerd. “Voor het aangezicht” (16:30) en de tempeldienst — Yoma. Hebreeën 9–10 belijdend (🔵). Van de Giessen niet beschikbaar voor Leviticus. Onkelos: nog te verifiëren. Naam: Yeshua. Auteur: Arie Alberts.</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