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Werkblad</w:t>
      </w:r>
    </w:p>
    <w:p>
      <w:pPr>
        <w:pStyle w:val="Heading1"/>
        <w:spacing w:lineRule="auto"/>
      </w:pPr>
      <w:r>
        <w:rPr/>
        <w:t xml:space="preserve">Het woord dat scheiding maakt</w:t>
      </w:r>
    </w:p>
    <w:p>
      <w:pPr>
        <w:spacing w:lineRule="auto"/>
      </w:pPr>
      <w:r>
        <w:rPr>
          <w:b/>
        </w:rPr>
        <w:t xml:space="preserve">Tora:</w:t>
      </w:r>
      <w:r>
        <w:rPr/>
        <w:t xml:space="preserve"> Genesis 1:1–6:8</w:t>
      </w:r>
    </w:p>
    <w:p>
      <w:pPr>
        <w:spacing w:lineRule="auto"/>
      </w:pPr>
      <w:r>
        <w:rPr/>
        <w:t xml:space="preserve">  ·  </w:t>
      </w:r>
    </w:p>
    <w:p>
      <w:pPr>
        <w:spacing w:lineRule="auto"/>
      </w:pPr>
      <w:r>
        <w:rPr>
          <w:b/>
        </w:rPr>
        <w:t xml:space="preserve">Haftara:</w:t>
      </w:r>
      <w:r>
        <w:rPr/>
        <w:t xml:space="preserve"> 1 Samuël 20:18–42</w:t>
      </w:r>
    </w:p>
    <w:p>
      <w:pPr>
        <w:spacing w:lineRule="auto"/>
      </w:pPr>
      <w:r>
        <w:rPr/>
        <w:t xml:space="preserve">  ·  </w:t>
      </w:r>
    </w:p>
    <w:p>
      <w:pPr>
        <w:spacing w:lineRule="auto"/>
      </w:pPr>
      <w:r>
        <w:rPr>
          <w:b/>
        </w:rPr>
        <w:t xml:space="preserve">Evangelie:</w:t>
      </w:r>
      <w:r>
        <w:rPr/>
        <w:t xml:space="preserve"> Mattheüs 24:29–36</w:t>
      </w:r>
    </w:p>
    <w:p>
      <w:pPr>
        <w:spacing w:lineRule="auto"/>
      </w:pPr>
      <w:r>
        <w:rPr/>
        <w:t xml:space="preserve">God schept door te spreken en te scheiden; de Geest zweeft over de leegte en het Woord roept licht en orde. Zonde is de-creatie: de profeten gebruiken het beeld van tohu va-vohu voor waar zonde op uitloopt (al zijn het taalkundig andere woorden dan hevel/riq). Kaïn grijpt en laat de zonde heersen; Jonatan — „de HEERE heeft gegeven” — ontvangt en geeft. Heersen over de zonde lukt niet uit eigen leegte maar door de Geest. En als de lichten doven, blijft Zijn woord: „hemel en aarde zullen voorbijgaan, Mijn woorden niet” (24:35).</w:t>
      </w:r>
    </w:p>
    <w:p>
      <w:pPr>
        <w:pStyle w:val="Heading2"/>
        <w:spacing w:lineRule="auto"/>
      </w:pPr>
      <w:r>
        <w:rPr/>
        <w:t xml:space="preserve">Zo gebruik je dit blad</w:t>
      </w:r>
    </w:p>
    <w:p>
      <w:pPr>
        <w:spacing w:lineRule="auto"/>
      </w:pPr>
      <w:r>
        <w:rPr/>
        <w:t xml:space="preserve">Werk van boven naar beneden: eerst wáárnemen (A1), dan wégen (A2), dan diagnosticeren (A3), en pas dan samenvatten (A4). De richting — ontvangen of grijpen — is de horizon, niet het vertrekpunt.</w:t>
      </w:r>
    </w:p>
    <w:p>
      <w:pPr>
        <w:pStyle w:val="Heading2"/>
        <w:spacing w:lineRule="auto"/>
      </w:pPr>
      <w:r>
        <w:rPr/>
        <w:t xml:space="preserve">Basisgegevens</w:t>
      </w:r>
    </w:p>
    <w:p>
      <w:pPr>
        <w:spacing w:lineRule="auto"/>
      </w:pPr>
      <w:r>
        <w:rPr/>
        <w:t xml:space="preserve">Parasja / afbakening: Bereshit — Genesis 1:1–6:8. Haftara (Machar Chodesj): 1 Samuël 20:18–42. Flanklezing en status: Mattheüs 24:29–36 — nieuwtestamentische spiegeling, belijdend gebruikt (niet als peshat). Doelgroep: studiegroep / gemeente.</w:t>
      </w:r>
    </w:p>
    <w:p>
      <w:pPr>
        <w:pStyle w:val="Heading2"/>
        <w:spacing w:lineRule="auto"/>
      </w:pPr>
      <w:r>
        <w:rPr/>
        <w:t xml:space="preserve">A1. Tekstblokken en peshat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Tekstblok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Wat staat er? (peshat)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Sleutelwoorden / contrast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Open vraag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Gen.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Scheppen door spreken; licht vóór de lichten; alles „goed”.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 God zéide · goed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Waarop rust de wereld?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Gen. 2–3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 hof gegeven; „zij nam en at”; breuk en doornen.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gave ↔ greep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Wat breekt het eerst?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Gen. 4–6:8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Dood („en hij stierf”); Gods smart; Noach vond genade.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dood · chen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Eindigt het in oordeel of genade?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Sam. 20:18–42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Nieuwemaan; Jonatans trouw; verbond over de scheiding heen.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nieuwemaan · verbond blijft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Wat blijft als wegen scheiden?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Matt. 24:29–36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Lichten doven; „hemel en aarde voorbij, Mijn woorden niet”.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doven · woord blijft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Waaraan hang je?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A2. Verbindende hypotheses</w:t>
      </w:r>
    </w:p>
    <w:p>
      <w:pPr>
        <w:spacing w:lineRule="auto"/>
      </w:pPr>
      <w:r>
        <w:rPr/>
        <w:t xml:space="preserve">Hypothese 1 (één as): het zwaartepunt is ontvangen vs grijpen alleen — schepping als gave, val als greep.</w:t>
      </w:r>
    </w:p>
    <w:p>
      <w:pPr>
        <w:spacing w:lineRule="auto"/>
      </w:pPr>
      <w:r>
        <w:rPr/>
        <w:t xml:space="preserve">Hypothese 2 (relatie): het zwaartepunt is Bron ↔ Traject — het scheppende woord dat ook blíjft (Matt. 24:35), van „in den beginne… en God zéide” tot „Mijn woorden niet voorbij”, met gave, greep, dood en genade onderweg.</w:t>
      </w:r>
    </w:p>
    <w:p>
      <w:pPr>
        <w:spacing w:lineRule="auto"/>
      </w:pPr>
      <w:r>
        <w:rPr/>
        <w:t xml:space="preserve">Welke verklaart de meeste gegevens met de minste dwang? Hypothese 2. Zij verklaart waarom de lichten (1:14) en de nieuwemaan (haftara) en het doven ervan (Matt. 24) samenhangen, en waarom het slot genade is (6:8). Hypothese 1 laat haftara en evangelie los hangen.</w:t>
      </w:r>
    </w:p>
    <w:p>
      <w:pPr>
        <w:spacing w:lineRule="auto"/>
      </w:pPr>
      <w:r>
        <w:rPr/>
        <w:t xml:space="preserve">Wat zou deze lezing weerleggen? Als het woord niet als constante terugkeerde (Matt. 24:35) en de lichten/nieuwemaan geen rol speelden, lag het gewicht bij de ene as.</w:t>
      </w:r>
    </w:p>
    <w:p>
      <w:pPr>
        <w:pStyle w:val="Heading2"/>
        <w:spacing w:lineRule="auto"/>
      </w:pPr>
      <w:r>
        <w:rPr/>
        <w:t xml:space="preserve">A3. Vier assen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Tekstankers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Diagnose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Open anomalie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1:3 · 6:8 · Matt. 24:35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Dragend. Het scheppende, blijvende woord; slot in genade.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Licht vóór de lichtbronnen?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Traject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1:1 → 3:6 → 5 → 6:8 → Matt. 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Dragend. Begin → val → dood → genade → einde; maan vervalt en vernieuwt.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De-schepping of vervulling?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Coherentie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1:29-30 ↔ 3:6 · 1 Sam. 20:42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Gave ↔ greep; verbondswoord blijft.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Waar wordt ontvangen greep?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3:6 · Matt. 24:42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Respons: horen en blijven, of grijpen en vallen.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Waken: rekenen of vertrouwen?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A4. Beweging</w:t>
      </w:r>
    </w:p>
    <w:p>
      <w:pPr>
        <w:spacing w:lineRule="auto"/>
      </w:pPr>
      <w:r>
        <w:rPr/>
        <w:t xml:space="preserve">Wat wordt ontmaskerd? De greep: nemen wat je mocht ontvangen, buiten de Gever om willen zijn als God (3:6) — de oervorm van alle kwaad, en het vertrouwen op het gemaakte dat voorbijgaat.</w:t>
      </w:r>
    </w:p>
    <w:p>
      <w:pPr>
        <w:spacing w:lineRule="auto"/>
      </w:pPr>
      <w:r>
        <w:rPr/>
        <w:t xml:space="preserve">Welk kader zet de tekst ervoor in de plaats? Het scheppende woord dat gave is en blijft: ontvang de wereld uit Zijn hand, en hang je leven aan het woord dat niet voorbijgaat (Matt. 24:35).</w:t>
      </w:r>
    </w:p>
    <w:p>
      <w:pPr>
        <w:spacing w:lineRule="auto"/>
      </w:pPr>
      <w:r>
        <w:rPr/>
        <w:t xml:space="preserve">Welke concrete respons en vorming volgen? Opnieuw ontvangen i.p.v. grijpen; de gezette tijden aan de Vader laten (het uur kent alleen Hij); en blijven in het Woord, ook als de lichten doven.</w:t>
      </w:r>
    </w:p>
    <w:p>
      <w:pPr>
        <w:spacing w:lineRule="auto"/>
      </w:pPr>
      <w:r>
        <w:rPr>
          <w:b/>
        </w:rPr>
        <w:t xml:space="preserve">Kernzin:</w:t>
      </w:r>
      <w:r>
        <w:rPr/>
        <w:t xml:space="preserve"> God sprak en het was er; de mens greep en de dood kwam; maar genade werd gevonden — en het woord dat schiep, blijft als hemel en aarde voorbijgaan.</w:t>
      </w:r>
    </w:p>
    <w:p>
      <w:pPr>
        <w:spacing w:lineRule="auto"/>
      </w:pPr>
      <w:r>
        <w:rPr>
          <w:b/>
        </w:rPr>
        <w:t xml:space="preserve">Horizon (grond, niet thema van de week):</w:t>
      </w:r>
      <w:r>
        <w:rPr/>
        <w:t xml:space="preserve"> het scheppende woord is in Yeshua vlees geworden (Joh. 1:14) en „Mijn woorden zullen niet voorbijgaan” (Matt. 24:35) — belijdende horizon, geen peshat-bepaler.</w:t>
      </w:r>
    </w:p>
    <w:p>
      <w:pPr>
        <w:spacing w:lineRule="auto"/>
      </w:pPr>
      <w:r>
        <w:rPr/>
        <w:t xml:space="preserve">     parasja.nl — © Arie Alberts   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2026-10-07T09:49:55.434Z</dcterms:created>
  <dcterms:modified xsi:type="dcterms:W3CDTF">2026-10-07T09:49:55.434Z</dcterms:modified>
</cp:coreProperties>
</file>