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tudieblad-sukkot"/>
    <w:p>
      <w:pPr>
        <w:pStyle w:val="Heading1"/>
      </w:pPr>
      <w:r>
        <w:t xml:space="preserve">Studieblad — Sukkot</w:t>
      </w:r>
    </w:p>
    <w:p>
      <w:pPr>
        <w:pStyle w:val="FirstParagraph"/>
      </w:pPr>
      <w:r>
        <w:rPr>
          <w:iCs/>
          <w:i/>
        </w:rPr>
        <w:t xml:space="preserve">Leviticus 22:26–23:44 · Haftara Zacharia 14:1–21 · Evangelie Lukas 2:1–20 · Arie Alberts</w:t>
      </w:r>
    </w:p>
    <w:bookmarkStart w:id="24" w:name="waarnemingsronde"/>
    <w:p>
      <w:pPr>
        <w:pStyle w:val="Heading2"/>
      </w:pPr>
      <w:r>
        <w:t xml:space="preserve">§0 Waarnemingsronde</w:t>
      </w:r>
    </w:p>
    <w:bookmarkStart w:id="20" w:name="blinde-waarneming"/>
    <w:p>
      <w:pPr>
        <w:pStyle w:val="Heading3"/>
      </w:pPr>
      <w:r>
        <w:t xml:space="preserve">0.1 Blinde waarneming</w:t>
      </w:r>
    </w:p>
    <w:p>
      <w:pPr>
        <w:pStyle w:val="FirstParagraph"/>
      </w:pPr>
      <w:r>
        <w:t xml:space="preserve">De lezing opent niet bij de hut maar bij Gods heilige Naam en “Mijn feestdagen” (22:32–23:2): de moadiem zijn Gods aangewezen tijden, niet menselijke tradities. Leviticus 23 begint met de sabbat (23:3) — het ritme van stoppen en ontvangen — en loopt dan door het hele jaar tot Sukkot, dat ná Jom Kippur komt: “verblijd u zeven dagen voor het aangezicht van de HEERE” (23:40). De reden staat er zelf: “opdat uw generaties weten dat Ik hen in loofhutten liet wonen” (23:43). Het is tegelijk oogstfeest (asif) en herdenking van de woestijn. Zacharia 14 verbreedt het beeld: strijd om Jeruzalem, God grijpt in, “de HEERE zal Koning zijn over heel de aarde” (14:9), levende wateren, en de volken komen jaar na jaar Sukkot vieren (14:16). Lukas 2: de Koning komt klein en kwetsbaar, geen plaats, herders, grote blijdschap.</w:t>
      </w:r>
    </w:p>
    <w:bookmarkEnd w:id="20"/>
    <w:bookmarkStart w:id="21" w:name="de-vier-assen-als-open-vraag"/>
    <w:p>
      <w:pPr>
        <w:pStyle w:val="Heading3"/>
      </w:pPr>
      <w:r>
        <w:t xml:space="preserve">0.2 De vier assen als open vraag</w:t>
      </w:r>
    </w:p>
    <w:p>
      <w:pPr>
        <w:pStyle w:val="FirstParagraph"/>
      </w:pPr>
      <w:r>
        <w:t xml:space="preserve">Valt het gewicht op wat God is en doet (Bron: draagt, bewaart, komt wonen), op de beweging door de tijd (Traject: woestijn → oogst → Jom Kippur → Sukkot → koningschap → incarnatie), op de heelheid binnen/buiten (Coherentie: afhankelijkheid ontvangen ↔ de hut als zichtbaar getuigenis, de volken), of op de respons (Wil: uit het huis komen, vreugde oefenen)?</w:t>
      </w:r>
    </w:p>
    <w:bookmarkEnd w:id="21"/>
    <w:bookmarkStart w:id="22" w:name="afgelezen-zwaartepunt"/>
    <w:p>
      <w:pPr>
        <w:pStyle w:val="Heading3"/>
      </w:pPr>
      <w:r>
        <w:t xml:space="preserve">0.3 Afgelezen zwaartepunt</w:t>
      </w:r>
    </w:p>
    <w:p>
      <w:pPr>
        <w:pStyle w:val="FirstParagraph"/>
      </w:pPr>
      <w:r>
        <w:t xml:space="preserve">🟢 Dragend zijn</w:t>
      </w:r>
      <w:r>
        <w:t xml:space="preserve"> </w:t>
      </w:r>
      <w:r>
        <w:rPr>
          <w:bCs/>
          <w:b/>
        </w:rPr>
        <w:t xml:space="preserve">Bron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Traject</w:t>
      </w:r>
      <w:r>
        <w:t xml:space="preserve">: God draagt en bewaart (de hut = afhankelijkheid; “in de schaduw”), en het feest wijst vooruit — naar Gods koningschap over de volken en naar de God die in de Messias werkelijk komt wonen. Zwaartepunt: uit het vaste huis komen om te leren dat Hij ons draagt — en dat wonen-onder-Zijn-schaduw wordt een zichtbaar getuigenis dat tot de volken reikt.</w:t>
      </w:r>
    </w:p>
    <w:bookmarkEnd w:id="22"/>
    <w:bookmarkStart w:id="23" w:name="framing-toets"/>
    <w:p>
      <w:pPr>
        <w:pStyle w:val="Heading3"/>
      </w:pPr>
      <w:r>
        <w:t xml:space="preserve">0.4 Framing-toets</w:t>
      </w:r>
    </w:p>
    <w:p>
      <w:pPr>
        <w:pStyle w:val="FirstParagraph"/>
      </w:pPr>
      <w:r>
        <w:t xml:space="preserve">🔴 Bewaakt. De weekreflex landt op “ontvangen / U draagt mij”; hier is dat gegrond (de hut ís afhankelijkheid; Onkelos: wonen “in de schaduw”), máár Traject (koningschap, incarnatie) en de Coherentie-lijn (de hut naar buiten, de volken komen) houden het weg van private overgave. Twee guards, door de auteur zelf gezet: Lukas 2 niet als bewijs van een geboortedatum, en Johannes 1:14 (“tabernakelen”) niet als etymologische truc — belijdende horizon, geen sluitcode.</w:t>
      </w:r>
    </w:p>
    <w:bookmarkEnd w:id="23"/>
    <w:bookmarkEnd w:id="24"/>
    <w:bookmarkStart w:id="25" w:name="de-draad"/>
    <w:p>
      <w:pPr>
        <w:pStyle w:val="Heading2"/>
      </w:pPr>
      <w:r>
        <w:t xml:space="preserve">§1 De draad</w:t>
      </w:r>
    </w:p>
    <w:p>
      <w:pPr>
        <w:pStyle w:val="FirstParagraph"/>
      </w:pPr>
      <w:r>
        <w:t xml:space="preserve">Wat draagt ons werkelijk? Niet ons bouwsel, maar de God die door de woestijn droeg en “in de schaduw” deed wonen. Uit het vaste huis komen leert ontvangen; en juist die kwetsbare, gehoorzame hut wordt een stil getuigenis — dat God bij Zijn volk wil wonen, en dat Zijn koningschap tot de volken reikt.</w:t>
      </w:r>
    </w:p>
    <w:bookmarkEnd w:id="25"/>
    <w:bookmarkStart w:id="26" w:name="peshat-per-blok"/>
    <w:p>
      <w:pPr>
        <w:pStyle w:val="Heading2"/>
      </w:pPr>
      <w:r>
        <w:t xml:space="preserve">§2 Peshat per blok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Tekstblok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 staat er? (peshat)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Sleutelwoord / 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vraag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Lev. 22:26–33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Offerbepalingen; “heilig Mijn Naam niet ontheiligen”; “Ik ben de HEERE die u heiligt”.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heiligen · Mijn Naam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Waarom eerst de heiliging, dan de feesten?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Lev. 23:1–3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Eerst de sabbat: zes dagen werk, de zevende rust.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sabbat · 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 zegt het dat de sabbat vooropstaat?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Lev. 23:4–36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moadiem door het jaar tot Sukkot; “Mijn feestdagen”.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moadiem · aangewezen tijd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Waarom komt Sukkot ná Jom Kippur?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Lev. 23:39–44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Vier soorten loof; zeven dagen vreugde; wonen in hutten “opdat generaties weten”.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vreugde · gedenken (23:43)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Waren die hutten mensenwerk of Gods wolken?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Zach. 14:1–9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Strijd om Jeruzalem; God grijpt in; “de HEERE Koning over heel de aarde”.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oordeel → koningschap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Hoe wordt Sukkot een wereld-perspectief?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Zach. 14:8,16–17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Levende wateren uit Jeruzalem; de volken komen jaar na jaar Sukkot vieren; anders geen regen.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bron · de volken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mag de gave los van de Gever claimen?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Zach. 14:20–21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“Heilig voor de HEERE” tot op de bellen van de paarden en de kookpotten.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heilig ↔ gewoon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Waar houdt het heilige op en het gewone op?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Luk. 2:1–20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Augustus’ volkstelling; geen plaats; kind in doeken en voerbak; herders; grote blijdschap; vrede op aarde.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macht ↔ kwetsbaarheid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is werkelijk Koning?</w:t>
            </w:r>
          </w:p>
        </w:tc>
      </w:tr>
    </w:tbl>
    <w:bookmarkEnd w:id="26"/>
    <w:bookmarkStart w:id="27" w:name="twee-dragende-assen"/>
    <w:p>
      <w:pPr>
        <w:pStyle w:val="Heading2"/>
      </w:pPr>
      <w:r>
        <w:t xml:space="preserve">§3 Twee dragende assen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Tekstankers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anomalie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Lev. 23:43 · Zach. 14:8 · Luk. 2:11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Dragend. God draagt, bewaart en komt wonen; wat wij ontvangen (adem, oogst, redding) is gave.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Waarom leert Hij dat juist via kwetsbaarheid?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Lev. 23:4–44 (jaar) · Jom Kippur → Sukkot · Zach. 14:9 · Luk.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Dragend, tweede pool. Het feest-jaar en de heilsgeschiedenis lopen uit op koningschap en incarnatie.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Vooruitwijzing of eigen kern?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Coherentie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Lev. 23:42 (zichtbaar wonen) · Zach. 14:16 (volken) · Joh. 1:14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Scharnier. Binnen (afhankelijkheid ontvangen) ↔ buiten (de hut als getuigenis, de volken die komen).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Wordt “getuigen” een prestatie of blijft het stil?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Lev. 23:40 (verblijd u) · uit het huis komen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Respons, geen bron: uit het vaste huis komen, vreugde oefenen, ontvangen.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Waar wordt “vreugde gebieden” geforceerd?</w:t>
            </w:r>
          </w:p>
        </w:tc>
      </w:tr>
    </w:tbl>
    <w:bookmarkEnd w:id="27"/>
    <w:bookmarkStart w:id="28" w:name="bronnenronde"/>
    <w:p>
      <w:pPr>
        <w:pStyle w:val="Heading2"/>
      </w:pPr>
      <w:r>
        <w:t xml:space="preserve">§4 Bronnenronde</w:t>
      </w:r>
    </w:p>
    <w:p>
      <w:pPr>
        <w:pStyle w:val="FirstParagraph"/>
      </w:pPr>
      <w:r>
        <w:t xml:space="preserve">Van de Giessen dekt Leviticus niet (wel Genesis 1–25 en Deut. 18–34); de getuigen zijn geverifieerd via Sefaria.</w:t>
      </w:r>
    </w:p>
    <w:p>
      <w:pPr>
        <w:pStyle w:val="BodyText"/>
      </w:pPr>
      <w:r>
        <w:t xml:space="preserve">🟢</w:t>
      </w:r>
      <w:r>
        <w:t xml:space="preserve"> </w:t>
      </w:r>
      <w:r>
        <w:rPr>
          <w:bCs/>
          <w:b/>
        </w:rPr>
        <w:t xml:space="preserve">De machloket over de hutten (Soekka 11b).</w:t>
      </w:r>
      <w:r>
        <w:t xml:space="preserve"> </w:t>
      </w:r>
      <w:r>
        <w:t xml:space="preserve">“Ik deed de Israëlieten in sukkot wonen” (23:43): R. Eliëzer — dit waren de wolken van heerlijkheid (annei kavod); R. Akiva — zij maakten echte hutten. Rasji (en Ramban) volgen de wolken; Rasjbam en Ibn Ezra houden de peshat van echte hutten. De twee polen — broos mensenwerk (kwetsbaarheid) én Gods overdekking (bewaring) — dragen samen precies de dubbelheid van dit feest.</w:t>
      </w:r>
    </w:p>
    <w:p>
      <w:pPr>
        <w:pStyle w:val="BodyText"/>
      </w:pPr>
      <w:r>
        <w:t xml:space="preserve">🟢</w:t>
      </w:r>
      <w:r>
        <w:t xml:space="preserve"> </w:t>
      </w:r>
      <w:r>
        <w:rPr>
          <w:bCs/>
          <w:b/>
        </w:rPr>
        <w:t xml:space="preserve">Onkelos op 23:43.</w:t>
      </w:r>
      <w:r>
        <w:t xml:space="preserve"> </w:t>
      </w:r>
      <w:r>
        <w:t xml:space="preserve">Hij vertaalt: Ik deed hen wonen “in de schaduw van de wolken”. Dat verankert de titel “wonen onder Zijn schaduw” rechtstreeks in de vroegste vertaal-lezing.</w:t>
      </w:r>
    </w:p>
    <w:p>
      <w:pPr>
        <w:pStyle w:val="BodyText"/>
      </w:pPr>
      <w:r>
        <w:t xml:space="preserve">🟡</w:t>
      </w:r>
      <w:r>
        <w:t xml:space="preserve"> </w:t>
      </w:r>
      <w:r>
        <w:rPr>
          <w:bCs/>
          <w:b/>
        </w:rPr>
        <w:t xml:space="preserve">Zohar (Emor).</w:t>
      </w:r>
      <w:r>
        <w:t xml:space="preserve"> </w:t>
      </w:r>
      <w:r>
        <w:t xml:space="preserve">De soekka heet “de schaduw van het geloof” (tsila di-mehimnoeta): wie erin zit, de Sjechina spreidt haar vleugels over hem, en de aartsvaders (de oesjpiezien) zijn te gast. Illustratief, niet dragend.</w:t>
      </w:r>
    </w:p>
    <w:p>
      <w:pPr>
        <w:pStyle w:val="BodyText"/>
      </w:pPr>
      <w:r>
        <w:t xml:space="preserve">🟢</w:t>
      </w:r>
      <w:r>
        <w:t xml:space="preserve"> </w:t>
      </w:r>
      <w:r>
        <w:rPr>
          <w:bCs/>
          <w:b/>
        </w:rPr>
        <w:t xml:space="preserve">Oogstfeest (asif; Ex. 23:16).</w:t>
      </w:r>
      <w:r>
        <w:t xml:space="preserve"> </w:t>
      </w:r>
      <w:r>
        <w:t xml:space="preserve">Sukkot is oorspronkelijk het najaars-inzamelingsfeest; 23:43 verbindt die oogst uniek met de uittocht/woestijn — arbeid én gave in één feest.</w:t>
      </w:r>
    </w:p>
    <w:p>
      <w:pPr>
        <w:pStyle w:val="BodyText"/>
      </w:pPr>
      <w:r>
        <w:t xml:space="preserve">⚪</w:t>
      </w:r>
      <w:r>
        <w:t xml:space="preserve"> </w:t>
      </w:r>
      <w:r>
        <w:rPr>
          <w:bCs/>
          <w:b/>
        </w:rPr>
        <w:t xml:space="preserve">Nisoech ha-majim</w:t>
      </w:r>
      <w:r>
        <w:t xml:space="preserve"> </w:t>
      </w:r>
      <w:r>
        <w:t xml:space="preserve">(waterlibatie) als achtergrond bij Zacharia’s levende wateren: historisch bekend, hier niet uitgewerkt (open verificatiepunt).</w:t>
      </w:r>
    </w:p>
    <w:p>
      <w:pPr>
        <w:pStyle w:val="BodyText"/>
      </w:pPr>
      <w:r>
        <w:rPr>
          <w:bCs/>
          <w:b/>
        </w:rPr>
        <w:t xml:space="preserve">Revisiepoort.</w:t>
      </w:r>
      <w:r>
        <w:t xml:space="preserve"> </w:t>
      </w:r>
      <w:r>
        <w:t xml:space="preserve">Veranderde de ronde het zwaartepunt? Bevestigend: Onkelos’ “schaduw” en de machloket geven de dubbelheid (broos + bewaard) haar peshat-grond, en houden het zwaartepunt op Bron+Traject zonder de reflex tot vlakke overgave te laten worden.</w:t>
      </w:r>
    </w:p>
    <w:bookmarkEnd w:id="28"/>
    <w:bookmarkStart w:id="29" w:name="richtingstoets-als-horizon"/>
    <w:p>
      <w:pPr>
        <w:pStyle w:val="Heading2"/>
      </w:pPr>
      <w:r>
        <w:t xml:space="preserve">§5 Richtingstoets als horizon</w:t>
      </w:r>
    </w:p>
    <w:p>
      <w:pPr>
        <w:pStyle w:val="FirstParagraph"/>
      </w:pPr>
      <w:r>
        <w:t xml:space="preserve">🔵 Belijdend. Lukas 2 toont de Koning die klein en kwetsbaar komt om ontvangen te worden — de God die bij Zijn volk komt wonen (vgl. Zach. 14: de HEERE Koning, de volken komen). En Johannes 1:14 (“het Woord… heeft onder ons gewoond / getabernakeld”) beeldt Gods nabijheid uit. 🔴 Bewaakt: Lukas 2 legt geen geboortedatum op Sukkot vast, en Joh. 1:14 is geen etymologische sleutel — beide zijn belijdende horizon, geen peshat-bepaler.</w:t>
      </w:r>
    </w:p>
    <w:bookmarkEnd w:id="29"/>
    <w:bookmarkStart w:id="30" w:name="statustabel"/>
    <w:p>
      <w:pPr>
        <w:pStyle w:val="Heading2"/>
      </w:pPr>
      <w:r>
        <w:t xml:space="preserve">§6 Statustabel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moadiem zijn Gods aangewezen tijden; tijd behoort aan God (22:32–23:2)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dragend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hut = afhankelijkheid; vreugde komt ná verzoening (23:40,43)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dragend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Onkelos: wonen “in de schaduw van de wolken” (23:43) — verankert de titel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dragend (geverifieerd)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Machloket hutten/wolken (Soekka 11b): broos mensenwerk én Gods bewaring, beide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🟢/🟡 pre-peshat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Zohar: de soekka als “schaduw van het geloof” + oesjpiezien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suggestief (mystiek)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Zacharia: koningschap over de volken; de volken vieren Sukkot (14:9,16)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dragend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Reflex-landing op vlakke overgave; “getuigen” als prestatie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bewaking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Lukas 2 / Joh. 1:14: God komt wonen — belijdend, geen geboortedatum, geen etymologische truc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belijdend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Nisoech ha-majim als achtergrond bij Zach. 14:8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open verificatiepunt</w:t>
            </w:r>
          </w:p>
        </w:tc>
      </w:tr>
    </w:tbl>
    <w:bookmarkEnd w:id="30"/>
    <w:bookmarkStart w:id="31" w:name="podcast-vertaalslag"/>
    <w:p>
      <w:pPr>
        <w:pStyle w:val="Heading2"/>
      </w:pPr>
      <w:r>
        <w:t xml:space="preserve">§7 Podcast-vertaalslag</w:t>
      </w:r>
    </w:p>
    <w:p>
      <w:pPr>
        <w:pStyle w:val="FirstParagraph"/>
      </w:pPr>
      <w:r>
        <w:t xml:space="preserve">Eén fysiek beeld: de loofhut die naast het huis staat, zichtbaar voor wie langsrijdt — en die gedurende de week verlept. Je zet hem groen neer, je geniet ervan, en de blaadjes vallen af; toch blijft de vreugde, omdat zij niet aan het loof hing maar aan de Gever. En de tweede helft: als het gesprek voorbij is, wordt de hut zelf het getuigenis — stil, maar zichtbaar: God wil bij ons wonen.</w:t>
      </w:r>
    </w:p>
    <w:bookmarkEnd w:id="31"/>
    <w:bookmarkStart w:id="32" w:name="bronverantwoording"/>
    <w:p>
      <w:pPr>
        <w:pStyle w:val="Heading2"/>
      </w:pPr>
      <w:r>
        <w:t xml:space="preserve">§8 Bronverantwoording</w:t>
      </w:r>
    </w:p>
    <w:p>
      <w:pPr>
        <w:pStyle w:val="FirstParagraph"/>
      </w:pPr>
      <w:r>
        <w:t xml:space="preserve">Machloket hutten/wolken (Soekka 11b; Rasji/Ramban vs. Rasjbam/Ibn Ezra), Onkelos op 23:43 (“in de schaduw”), Zohar Emor (tsila di-mehimnoeta) — via Sefaria geverifieerd. Oogstfeest/asif (Ex. 23:16). Van de Giessen niet beschikbaar voor Leviticus. Nisoech ha-majim: open verificatiepunt. Naam: Yeshua. Auteur: Arie Alberts.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hAnsi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2026-09-23T17:56:23Z</dcterms:created>
  <dcterms:modified xsi:type="dcterms:W3CDTF">2026-09-23T17:56:23Z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