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worksheet-sukkot"/>
    <w:p>
      <w:pPr>
        <w:pStyle w:val="Heading1"/>
      </w:pPr>
      <w:r>
        <w:t xml:space="preserve">Worksheet — Sukkot</w:t>
      </w:r>
    </w:p>
    <w:p>
      <w:pPr>
        <w:pStyle w:val="FirstParagraph"/>
      </w:pPr>
      <w:r>
        <w:rPr>
          <w:iCs/>
          <w:i/>
        </w:rPr>
        <w:t xml:space="preserve">Appendix A · The Frame for parashah study · Arie Alberts</w:t>
      </w:r>
    </w:p>
    <w:bookmarkStart w:id="20" w:name="how-to-use-this-sheet"/>
    <w:p>
      <w:pPr>
        <w:pStyle w:val="Heading2"/>
      </w:pPr>
      <w:r>
        <w:t xml:space="preserve">How to use this sheet</w:t>
      </w:r>
    </w:p>
    <w:p>
      <w:pPr>
        <w:pStyle w:val="FirstParagraph"/>
      </w:pPr>
      <w:r>
        <w:t xml:space="preserve">Work from top to bottom: first observe (A1), then weigh (A2), then diagnose (A3), and only then summarise (A4). The direction — receiving or grasping — is the horizon, not the starting point.</w:t>
      </w:r>
    </w:p>
    <w:bookmarkEnd w:id="20"/>
    <w:bookmarkStart w:id="21" w:name="basic-data"/>
    <w:p>
      <w:pPr>
        <w:pStyle w:val="Heading2"/>
      </w:pPr>
      <w:r>
        <w:t xml:space="preserve">Basic data</w:t>
      </w:r>
    </w:p>
    <w:p>
      <w:pPr>
        <w:pStyle w:val="FirstParagraph"/>
      </w:pPr>
      <w:r>
        <w:t xml:space="preserve">Parashah / scope: Sukkot — Leviticus 22:26–23:44. Haftarah: Zechariah 14:1–21. Flanking reading and status: Luke 2:1–20 — New Testament reflection, used confessionally (not as peshat). Audience: study group / congregation.</w:t>
      </w:r>
    </w:p>
    <w:bookmarkEnd w:id="21"/>
    <w:bookmarkStart w:id="22" w:name="a1.-text-blocks-and-peshat"/>
    <w:p>
      <w:pPr>
        <w:pStyle w:val="Heading2"/>
      </w:pPr>
      <w:r>
        <w:t xml:space="preserve">A1. Text blocks and peshat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Block</w:t>
            </w:r>
          </w:p>
        </w:tc>
        <w:tc>
          <w:tcPr/>
          <w:p>
            <w:pPr>
              <w:pStyle w:val="Compact"/>
              <w:jc w:val="left"/>
            </w:pPr>
            <w:r>
              <w:t xml:space="preserve">What it says (peshat)</w:t>
            </w:r>
          </w:p>
        </w:tc>
        <w:tc>
          <w:tcPr/>
          <w:p>
            <w:pPr>
              <w:pStyle w:val="Compact"/>
              <w:jc w:val="left"/>
            </w:pPr>
            <w:r>
              <w:t xml:space="preserve">Keywords / contrast</w:t>
            </w:r>
          </w:p>
        </w:tc>
        <w:tc>
          <w:tcPr/>
          <w:p>
            <w:pPr>
              <w:pStyle w:val="Compact"/>
              <w:jc w:val="left"/>
            </w:pPr>
            <w:r>
              <w:t xml:space="preserve">Open question</w:t>
            </w:r>
          </w:p>
        </w:tc>
      </w:tr>
      <w:tr>
        <w:tc>
          <w:tcPr/>
          <w:p>
            <w:pPr>
              <w:pStyle w:val="Compact"/>
              <w:jc w:val="left"/>
            </w:pPr>
            <w:r>
              <w:t xml:space="preserve">Lev. 22:26–23:8</w:t>
            </w:r>
          </w:p>
        </w:tc>
        <w:tc>
          <w:tcPr/>
          <w:p>
            <w:pPr>
              <w:pStyle w:val="Compact"/>
              <w:jc w:val="left"/>
            </w:pPr>
            <w:r>
              <w:t xml:space="preserve">Sanctify My Name; “My feasts”; sabbath first.</w:t>
            </w:r>
          </w:p>
        </w:tc>
        <w:tc>
          <w:tcPr/>
          <w:p>
            <w:pPr>
              <w:pStyle w:val="Compact"/>
              <w:jc w:val="left"/>
            </w:pPr>
            <w:r>
              <w:t xml:space="preserve">moadim · sabbath</w:t>
            </w:r>
          </w:p>
        </w:tc>
        <w:tc>
          <w:tcPr/>
          <w:p>
            <w:pPr>
              <w:pStyle w:val="Compact"/>
              <w:jc w:val="left"/>
            </w:pPr>
            <w:r>
              <w:t xml:space="preserve">Whose are the feasts?</w:t>
            </w:r>
          </w:p>
        </w:tc>
      </w:tr>
      <w:tr>
        <w:tc>
          <w:tcPr/>
          <w:p>
            <w:pPr>
              <w:pStyle w:val="Compact"/>
              <w:jc w:val="left"/>
            </w:pPr>
            <w:r>
              <w:t xml:space="preserve">Lev. 23:33–44</w:t>
            </w:r>
          </w:p>
        </w:tc>
        <w:tc>
          <w:tcPr/>
          <w:p>
            <w:pPr>
              <w:pStyle w:val="Compact"/>
              <w:jc w:val="left"/>
            </w:pPr>
            <w:r>
              <w:t xml:space="preserve">Sukkot after Yom Kippur; joy; foliage; dwelling in booths “that generations may know”.</w:t>
            </w:r>
          </w:p>
        </w:tc>
        <w:tc>
          <w:tcPr/>
          <w:p>
            <w:pPr>
              <w:pStyle w:val="Compact"/>
              <w:jc w:val="left"/>
            </w:pPr>
            <w:r>
              <w:t xml:space="preserve">joy after atonement</w:t>
            </w:r>
          </w:p>
        </w:tc>
        <w:tc>
          <w:tcPr/>
          <w:p>
            <w:pPr>
              <w:pStyle w:val="Compact"/>
              <w:jc w:val="left"/>
            </w:pPr>
            <w:r>
              <w:t xml:space="preserve">Were the booths human-made or God’s clouds?</w:t>
            </w:r>
          </w:p>
        </w:tc>
      </w:tr>
      <w:tr>
        <w:tc>
          <w:tcPr/>
          <w:p>
            <w:pPr>
              <w:pStyle w:val="Compact"/>
              <w:jc w:val="left"/>
            </w:pPr>
            <w:r>
              <w:t xml:space="preserve">Zech. 14:1–9</w:t>
            </w:r>
          </w:p>
        </w:tc>
        <w:tc>
          <w:tcPr/>
          <w:p>
            <w:pPr>
              <w:pStyle w:val="Compact"/>
              <w:jc w:val="left"/>
            </w:pPr>
            <w:r>
              <w:t xml:space="preserve">War; God intervenes; the LORD King over all the earth.</w:t>
            </w:r>
          </w:p>
        </w:tc>
        <w:tc>
          <w:tcPr/>
          <w:p>
            <w:pPr>
              <w:pStyle w:val="Compact"/>
              <w:jc w:val="left"/>
            </w:pPr>
            <w:r>
              <w:t xml:space="preserve">judgment → kingship</w:t>
            </w:r>
          </w:p>
        </w:tc>
        <w:tc>
          <w:tcPr/>
          <w:p>
            <w:pPr>
              <w:pStyle w:val="Compact"/>
              <w:jc w:val="left"/>
            </w:pPr>
            <w:r>
              <w:t xml:space="preserve">How does Sukkot become a world-perspective?</w:t>
            </w:r>
          </w:p>
        </w:tc>
      </w:tr>
      <w:tr>
        <w:tc>
          <w:tcPr/>
          <w:p>
            <w:pPr>
              <w:pStyle w:val="Compact"/>
              <w:jc w:val="left"/>
            </w:pPr>
            <w:r>
              <w:t xml:space="preserve">Zech. 14:16–21</w:t>
            </w:r>
          </w:p>
        </w:tc>
        <w:tc>
          <w:tcPr/>
          <w:p>
            <w:pPr>
              <w:pStyle w:val="Compact"/>
              <w:jc w:val="left"/>
            </w:pPr>
            <w:r>
              <w:t xml:space="preserve">The nations keep Sukkot; living waters; holy to the cooking pots.</w:t>
            </w:r>
          </w:p>
        </w:tc>
        <w:tc>
          <w:tcPr/>
          <w:p>
            <w:pPr>
              <w:pStyle w:val="Compact"/>
              <w:jc w:val="left"/>
            </w:pPr>
            <w:r>
              <w:t xml:space="preserve">the nations · holy/ordinary</w:t>
            </w:r>
          </w:p>
        </w:tc>
        <w:tc>
          <w:tcPr/>
          <w:p>
            <w:pPr>
              <w:pStyle w:val="Compact"/>
              <w:jc w:val="left"/>
            </w:pPr>
            <w:r>
              <w:t xml:space="preserve">Does the gift reach beyond Israel?</w:t>
            </w:r>
          </w:p>
        </w:tc>
      </w:tr>
      <w:tr>
        <w:tc>
          <w:tcPr/>
          <w:p>
            <w:pPr>
              <w:pStyle w:val="Compact"/>
              <w:jc w:val="left"/>
            </w:pPr>
            <w:r>
              <w:t xml:space="preserve">Luke 2:1–20</w:t>
            </w:r>
          </w:p>
        </w:tc>
        <w:tc>
          <w:tcPr/>
          <w:p>
            <w:pPr>
              <w:pStyle w:val="Compact"/>
              <w:jc w:val="left"/>
            </w:pPr>
            <w:r>
              <w:t xml:space="preserve">No room; child in a manger; shepherds; great joy.</w:t>
            </w:r>
          </w:p>
        </w:tc>
        <w:tc>
          <w:tcPr/>
          <w:p>
            <w:pPr>
              <w:pStyle w:val="Compact"/>
              <w:jc w:val="left"/>
            </w:pPr>
            <w:r>
              <w:t xml:space="preserve">power ↔ vulnerability</w:t>
            </w:r>
          </w:p>
        </w:tc>
        <w:tc>
          <w:tcPr/>
          <w:p>
            <w:pPr>
              <w:pStyle w:val="Compact"/>
              <w:jc w:val="left"/>
            </w:pPr>
            <w:r>
              <w:t xml:space="preserve">Who is truly King?</w:t>
            </w:r>
          </w:p>
        </w:tc>
      </w:tr>
    </w:tbl>
    <w:bookmarkEnd w:id="22"/>
    <w:bookmarkStart w:id="23" w:name="a2.-connecting-hypotheses"/>
    <w:p>
      <w:pPr>
        <w:pStyle w:val="Heading2"/>
      </w:pPr>
      <w:r>
        <w:t xml:space="preserve">A2. Connecting hypotheses</w:t>
      </w:r>
    </w:p>
    <w:p>
      <w:pPr>
        <w:pStyle w:val="FirstParagraph"/>
      </w:pPr>
      <w:r>
        <w:t xml:space="preserve">Hypothesis 1 (one axis): the centre is Source alone — all is gift, the human receives; the booth is mere dependence.</w:t>
      </w:r>
    </w:p>
    <w:p>
      <w:pPr>
        <w:pStyle w:val="BodyText"/>
      </w:pPr>
      <w:r>
        <w:t xml:space="preserve">Hypothesis 2 (relation): the centre is Source ↔ Trajectory, with a Coherence hinge — God carries and comes to dwell, the feast points forward to kingship and incarnation, and the fragile booth becomes a visible witness reaching to the nations.</w:t>
      </w:r>
    </w:p>
    <w:p>
      <w:pPr>
        <w:pStyle w:val="BodyText"/>
      </w:pPr>
      <w:r>
        <w:t xml:space="preserve">Which explains the most data with the least strain? Hypothesis 2. It explains why Sukkot comes after Yom Kippur, why Zechariah brings in the nations, and why Luke shows the King vulnerable. Hypothesis 1 leaves Zechariah and Luke dangling.</w:t>
      </w:r>
    </w:p>
    <w:p>
      <w:pPr>
        <w:pStyle w:val="BodyText"/>
      </w:pPr>
      <w:r>
        <w:t xml:space="preserve">What would refute this reading? If the feast had no world-horizon (Zech.) and no coming-of-the-King (Luke), the weight would lie with Source alone.</w:t>
      </w:r>
    </w:p>
    <w:bookmarkEnd w:id="23"/>
    <w:bookmarkStart w:id="24" w:name="a3.-four-axes"/>
    <w:p>
      <w:pPr>
        <w:pStyle w:val="Heading2"/>
      </w:pPr>
      <w:r>
        <w:t xml:space="preserve">A3. Four axes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Axis</w:t>
            </w:r>
          </w:p>
        </w:tc>
        <w:tc>
          <w:tcPr/>
          <w:p>
            <w:pPr>
              <w:pStyle w:val="Compact"/>
              <w:jc w:val="left"/>
            </w:pPr>
            <w:r>
              <w:t xml:space="preserve">Text anchors</w:t>
            </w:r>
          </w:p>
        </w:tc>
        <w:tc>
          <w:tcPr/>
          <w:p>
            <w:pPr>
              <w:pStyle w:val="Compact"/>
              <w:jc w:val="left"/>
            </w:pPr>
            <w:r>
              <w:t xml:space="preserve">Diagnosis</w:t>
            </w:r>
          </w:p>
        </w:tc>
        <w:tc>
          <w:tcPr/>
          <w:p>
            <w:pPr>
              <w:pStyle w:val="Compact"/>
              <w:jc w:val="left"/>
            </w:pPr>
            <w:r>
              <w:t xml:space="preserve">Open anomaly</w:t>
            </w:r>
          </w:p>
        </w:tc>
      </w:tr>
      <w:tr>
        <w:tc>
          <w:tcPr/>
          <w:p>
            <w:pPr>
              <w:pStyle w:val="Compact"/>
              <w:jc w:val="left"/>
            </w:pPr>
            <w:r>
              <w:t xml:space="preserve">Source</w:t>
            </w:r>
          </w:p>
        </w:tc>
        <w:tc>
          <w:tcPr/>
          <w:p>
            <w:pPr>
              <w:pStyle w:val="Compact"/>
              <w:jc w:val="left"/>
            </w:pPr>
            <w:r>
              <w:t xml:space="preserve">Lev. 23:43 · Zech. 14:8 · Luke 2:11</w:t>
            </w:r>
          </w:p>
        </w:tc>
        <w:tc>
          <w:tcPr/>
          <w:p>
            <w:pPr>
              <w:pStyle w:val="Compact"/>
              <w:jc w:val="left"/>
            </w:pPr>
            <w:r>
              <w:t xml:space="preserve">Load-bearing. God carries, keeps, comes to dwell.</w:t>
            </w:r>
          </w:p>
        </w:tc>
        <w:tc>
          <w:tcPr/>
          <w:p>
            <w:pPr>
              <w:pStyle w:val="Compact"/>
              <w:jc w:val="left"/>
            </w:pPr>
            <w:r>
              <w:t xml:space="preserve">Why through vulnerability?</w:t>
            </w:r>
          </w:p>
        </w:tc>
      </w:tr>
      <w:tr>
        <w:tc>
          <w:tcPr/>
          <w:p>
            <w:pPr>
              <w:pStyle w:val="Compact"/>
              <w:jc w:val="left"/>
            </w:pPr>
            <w:r>
              <w:t xml:space="preserve">Trajectory</w:t>
            </w:r>
          </w:p>
        </w:tc>
        <w:tc>
          <w:tcPr/>
          <w:p>
            <w:pPr>
              <w:pStyle w:val="Compact"/>
              <w:jc w:val="left"/>
            </w:pPr>
            <w:r>
              <w:t xml:space="preserve">Lev. 23 · Yom Kippur→Sukkot · Zech. 14:9 · Luke 2</w:t>
            </w:r>
          </w:p>
        </w:tc>
        <w:tc>
          <w:tcPr/>
          <w:p>
            <w:pPr>
              <w:pStyle w:val="Compact"/>
              <w:jc w:val="left"/>
            </w:pPr>
            <w:r>
              <w:t xml:space="preserve">Load-bearing. Feast-year and salvation history → kingship, incarnation.</w:t>
            </w:r>
          </w:p>
        </w:tc>
        <w:tc>
          <w:tcPr/>
          <w:p>
            <w:pPr>
              <w:pStyle w:val="Compact"/>
              <w:jc w:val="left"/>
            </w:pPr>
            <w:r>
              <w:t xml:space="preserve">Pointer or core?</w:t>
            </w:r>
          </w:p>
        </w:tc>
      </w:tr>
      <w:tr>
        <w:tc>
          <w:tcPr/>
          <w:p>
            <w:pPr>
              <w:pStyle w:val="Compact"/>
              <w:jc w:val="left"/>
            </w:pPr>
            <w:r>
              <w:t xml:space="preserve">Coherence</w:t>
            </w:r>
          </w:p>
        </w:tc>
        <w:tc>
          <w:tcPr/>
          <w:p>
            <w:pPr>
              <w:pStyle w:val="Compact"/>
              <w:jc w:val="left"/>
            </w:pPr>
            <w:r>
              <w:t xml:space="preserve">Lev. 23:42 · Zech. 14:16 · John 1:14</w:t>
            </w:r>
          </w:p>
        </w:tc>
        <w:tc>
          <w:tcPr/>
          <w:p>
            <w:pPr>
              <w:pStyle w:val="Compact"/>
              <w:jc w:val="left"/>
            </w:pPr>
            <w:r>
              <w:t xml:space="preserve">Hinge. Receiving dependence ↔ the booth as witness, the nations.</w:t>
            </w:r>
          </w:p>
        </w:tc>
        <w:tc>
          <w:tcPr/>
          <w:p>
            <w:pPr>
              <w:pStyle w:val="Compact"/>
              <w:jc w:val="left"/>
            </w:pPr>
            <w:r>
              <w:t xml:space="preserve">Does “witnessing” stay silent?</w:t>
            </w:r>
          </w:p>
        </w:tc>
      </w:tr>
      <w:tr>
        <w:tc>
          <w:tcPr/>
          <w:p>
            <w:pPr>
              <w:pStyle w:val="Compact"/>
              <w:jc w:val="left"/>
            </w:pPr>
            <w:r>
              <w:t xml:space="preserve">Will</w:t>
            </w:r>
          </w:p>
        </w:tc>
        <w:tc>
          <w:tcPr/>
          <w:p>
            <w:pPr>
              <w:pStyle w:val="Compact"/>
              <w:jc w:val="left"/>
            </w:pPr>
            <w:r>
              <w:t xml:space="preserve">Lev. 23:40 · coming out of the house</w:t>
            </w:r>
          </w:p>
        </w:tc>
        <w:tc>
          <w:tcPr/>
          <w:p>
            <w:pPr>
              <w:pStyle w:val="Compact"/>
              <w:jc w:val="left"/>
            </w:pPr>
            <w:r>
              <w:t xml:space="preserve">Response: come out of the fixed house, practise joy, receive.</w:t>
            </w:r>
          </w:p>
        </w:tc>
        <w:tc>
          <w:tcPr/>
          <w:p>
            <w:pPr>
              <w:pStyle w:val="Compact"/>
              <w:jc w:val="left"/>
            </w:pPr>
            <w:r>
              <w:t xml:space="preserve">Where is joy forced?</w:t>
            </w:r>
          </w:p>
        </w:tc>
      </w:tr>
    </w:tbl>
    <w:bookmarkEnd w:id="24"/>
    <w:bookmarkStart w:id="25" w:name="a4.-movement"/>
    <w:p>
      <w:pPr>
        <w:pStyle w:val="Heading2"/>
      </w:pPr>
      <w:r>
        <w:t xml:space="preserve">A4. Movement</w:t>
      </w:r>
    </w:p>
    <w:p>
      <w:pPr>
        <w:pStyle w:val="FirstParagraph"/>
      </w:pPr>
      <w:r>
        <w:t xml:space="preserve">What is unmasked? Trusting what we have built as though it carries us — the blessing that takes the Giver’s place; and the illusion that we can receive life (rain, harvest) without the Life-giver (Zech. 14:17).</w:t>
      </w:r>
    </w:p>
    <w:p>
      <w:pPr>
        <w:pStyle w:val="BodyText"/>
      </w:pPr>
      <w:r>
        <w:t xml:space="preserve">What frame does the text put in its place? Coming out of the fixed house and dwelling under His shade: He carries through the wilderness, gives the harvest, and comes — in the Messiah — truly to dwell with His people.</w:t>
      </w:r>
    </w:p>
    <w:p>
      <w:pPr>
        <w:pStyle w:val="BodyText"/>
      </w:pPr>
      <w:r>
        <w:t xml:space="preserve">What concrete response and formation follow? Come out of your security and receive; practise joy after atonement; and let the fragile, obedient booth witness — silent, visible — even when the conversation is over.</w:t>
      </w:r>
    </w:p>
    <w:p>
      <w:pPr>
        <w:pStyle w:val="BodyText"/>
      </w:pPr>
      <w:r>
        <w:rPr>
          <w:bCs/>
          <w:b/>
        </w:rPr>
        <w:t xml:space="preserve">Core sentence:</w:t>
      </w:r>
      <w:r>
        <w:t xml:space="preserve"> </w:t>
      </w:r>
      <w:r>
        <w:t xml:space="preserve">Come out of your fixed house and sit under His shade — it is not what you built that carries you, but He, and that fragile booth becomes itself a silent witness.</w:t>
      </w:r>
    </w:p>
    <w:p>
      <w:pPr>
        <w:pStyle w:val="BodyText"/>
      </w:pPr>
      <w:r>
        <w:rPr>
          <w:bCs/>
          <w:b/>
        </w:rPr>
        <w:t xml:space="preserve">Horizon (ground, not the week’s theme):</w:t>
      </w:r>
      <w:r>
        <w:t xml:space="preserve"> </w:t>
      </w:r>
      <w:r>
        <w:t xml:space="preserve">“The LORD shall be king over all the earth” (Zech. 14:9), and the Word that became flesh and “dwelt among us” (John 1:14) — confessional horizon, no birth date, no etymological key.</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2026-09-23T17:56:23Z</dcterms:created>
  <dcterms:modified xsi:type="dcterms:W3CDTF">2026-09-23T17:56:23Z</dcterms:modified>
</cp:coreProperties>
</file>

<file path=docProps/custom.xml><?xml version="1.0" encoding="utf-8"?>
<Properties xmlns="http://schemas.openxmlformats.org/officeDocument/2006/custom-properties" xmlns:vt="http://schemas.openxmlformats.org/officeDocument/2006/docPropsVTypes"/>
</file>