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7365D"/>
          <w:sz w:val="30"/>
          <w:szCs w:val="30"/>
        </w:rPr>
        <w:t xml:space="preserve">WORKSHEET — PARASHAH SHOFTIM</w:t>
      </w:r>
    </w:p>
    <w:p>
      <w:pPr>
        <w:spacing w:after="40" w:line="276"/>
      </w:pPr>
      <w:r>
        <w:rPr>
          <w:rFonts w:ascii="Arial" w:cs="Arial" w:eastAsia="Arial" w:hAnsi="Arial"/>
          <w:i/>
          <w:iCs/>
          <w:color w:val="1F1F1F"/>
          <w:sz w:val="20"/>
          <w:szCs w:val="20"/>
        </w:rPr>
        <w:t xml:space="preserve">Appendix A (filled in) · The Frame for parashah study · a teaching aid</w:t>
      </w:r>
    </w:p>
    <w:p>
      <w:pPr>
        <w:pBdr>
          <w:bottom w:val="single" w:color="17365D" w:sz="6"/>
        </w:pBdr>
        <w:spacing w:after="180"/>
      </w:pPr>
      <w:r>
        <w:rPr>
          <w:rFonts w:ascii="Arial" w:cs="Arial" w:eastAsia="Arial" w:hAnsi="Arial"/>
        </w:rPr>
        <w:t xml:space="preserve"/>
      </w:r>
    </w:p>
    <w:p>
      <w:pPr>
        <w:spacing w:after="60" w:line="276"/>
      </w:pPr>
      <w:r>
        <w:rPr>
          <w:rFonts w:ascii="Arial" w:cs="Arial" w:eastAsia="Arial" w:hAnsi="Arial"/>
          <w:b/>
          <w:bCs/>
          <w:color w:val="1F1F1F"/>
          <w:sz w:val="22"/>
          <w:szCs w:val="22"/>
        </w:rPr>
        <w:t xml:space="preserve">How to use this sheet</w:t>
      </w:r>
    </w:p>
    <w:p>
      <w:pPr>
        <w:spacing w:after="160" w:line="276"/>
      </w:pPr>
      <w:r>
        <w:rPr>
          <w:rFonts w:ascii="Arial" w:cs="Arial" w:eastAsia="Arial" w:hAnsi="Arial"/>
          <w:color w:val="1F1F1F"/>
          <w:sz w:val="21"/>
          <w:szCs w:val="21"/>
        </w:rPr>
        <w:t xml:space="preserve">Work from top to bottom: first observe (A1), then weigh (A2), then diagnose (A3), and only then summarize (A4). Observation precedes interpretation, so you do not read into the text what you draw from it moments later. Below is a fully filled-in example for Shoftim; use it as a model, and dare to leave the open questions and anomalies open.</w:t>
      </w:r>
    </w:p>
    <w:p>
      <w:pPr>
        <w:pStyle w:val="Heading1"/>
        <w:spacing w:after="120" w:before="300"/>
      </w:pPr>
      <w:r>
        <w:rPr>
          <w:rFonts w:ascii="Arial" w:cs="Arial" w:eastAsia="Arial" w:hAnsi="Arial"/>
          <w:b/>
          <w:bCs/>
          <w:color w:val="17365D"/>
          <w:sz w:val="24"/>
          <w:szCs w:val="24"/>
        </w:rPr>
        <w:t xml:space="preserve">Basic details</w:t>
      </w:r>
    </w:p>
    <w:p>
      <w:pPr>
        <w:spacing w:after="90" w:before="40" w:line="264"/>
      </w:pPr>
      <w:r>
        <w:rPr>
          <w:rFonts w:ascii="Arial" w:cs="Arial" w:eastAsia="Arial" w:hAnsi="Arial"/>
          <w:i/>
          <w:iCs/>
          <w:color w:val="6A6A6A"/>
          <w:sz w:val="18"/>
          <w:szCs w:val="18"/>
        </w:rPr>
        <w:t xml:space="preserve">→  First fill in the basics: which passage, which haftarah, any flanking reading with its status, and for whom you are making this.</w:t>
      </w:r>
    </w:p>
    <w:p>
      <w:pPr>
        <w:spacing w:after="130" w:line="276"/>
      </w:pPr>
      <w:r>
        <w:rPr>
          <w:rFonts w:ascii="Arial" w:cs="Arial" w:eastAsia="Arial" w:hAnsi="Arial"/>
          <w:b/>
          <w:bCs/>
          <w:color w:val="1F1F1F"/>
          <w:sz w:val="21"/>
          <w:szCs w:val="21"/>
        </w:rPr>
        <w:t xml:space="preserve">Parashah / delimitation:  </w:t>
      </w:r>
      <w:r>
        <w:rPr>
          <w:rFonts w:ascii="Arial" w:cs="Arial" w:eastAsia="Arial" w:hAnsi="Arial"/>
          <w:color w:val="333333"/>
          <w:sz w:val="21"/>
          <w:szCs w:val="21"/>
        </w:rPr>
        <w:t xml:space="preserve">Shoftim — Deuteronomy 16:18–21:9</w:t>
      </w:r>
    </w:p>
    <w:p>
      <w:pPr>
        <w:spacing w:after="130" w:line="276"/>
      </w:pPr>
      <w:r>
        <w:rPr>
          <w:rFonts w:ascii="Arial" w:cs="Arial" w:eastAsia="Arial" w:hAnsi="Arial"/>
          <w:b/>
          <w:bCs/>
          <w:color w:val="1F1F1F"/>
          <w:sz w:val="21"/>
          <w:szCs w:val="21"/>
        </w:rPr>
        <w:t xml:space="preserve">Haftarah / ritual place:  </w:t>
      </w:r>
      <w:r>
        <w:rPr>
          <w:rFonts w:ascii="Arial" w:cs="Arial" w:eastAsia="Arial" w:hAnsi="Arial"/>
          <w:color w:val="333333"/>
          <w:sz w:val="21"/>
          <w:szCs w:val="21"/>
        </w:rPr>
        <w:t xml:space="preserve">Isaiah 51:12–52:12 (third comfort sabbath; sheva de-nechemta)</w:t>
      </w:r>
    </w:p>
    <w:p>
      <w:pPr>
        <w:spacing w:after="130" w:line="276"/>
      </w:pPr>
      <w:r>
        <w:rPr>
          <w:rFonts w:ascii="Arial" w:cs="Arial" w:eastAsia="Arial" w:hAnsi="Arial"/>
          <w:b/>
          <w:bCs/>
          <w:color w:val="1F1F1F"/>
          <w:sz w:val="21"/>
          <w:szCs w:val="21"/>
        </w:rPr>
        <w:t xml:space="preserve">Flanking reading and status:  </w:t>
      </w:r>
      <w:r>
        <w:rPr>
          <w:rFonts w:ascii="Arial" w:cs="Arial" w:eastAsia="Arial" w:hAnsi="Arial"/>
          <w:color w:val="333333"/>
          <w:sz w:val="21"/>
          <w:szCs w:val="21"/>
        </w:rPr>
        <w:t xml:space="preserve">John 14:9–20 — New Testament mirroring, confessionally used (not as peshat on the Torah).</w:t>
      </w:r>
    </w:p>
    <w:p>
      <w:pPr>
        <w:spacing w:after="130" w:line="276"/>
      </w:pPr>
      <w:r>
        <w:rPr>
          <w:rFonts w:ascii="Arial" w:cs="Arial" w:eastAsia="Arial" w:hAnsi="Arial"/>
          <w:b/>
          <w:bCs/>
          <w:color w:val="1F1F1F"/>
          <w:sz w:val="21"/>
          <w:szCs w:val="21"/>
        </w:rPr>
        <w:t xml:space="preserve">Target group and desired form:  </w:t>
      </w:r>
      <w:r>
        <w:rPr>
          <w:rFonts w:ascii="Arial" w:cs="Arial" w:eastAsia="Arial" w:hAnsi="Arial"/>
          <w:color w:val="333333"/>
          <w:sz w:val="21"/>
          <w:szCs w:val="21"/>
        </w:rPr>
        <w:t xml:space="preserve">Study group / congregation · a compact study and a spoken reading.</w:t>
      </w:r>
    </w:p>
    <w:p>
      <w:pPr>
        <w:pStyle w:val="Heading1"/>
        <w:spacing w:after="120" w:before="300"/>
      </w:pPr>
      <w:r>
        <w:rPr>
          <w:rFonts w:ascii="Arial" w:cs="Arial" w:eastAsia="Arial" w:hAnsi="Arial"/>
          <w:b/>
          <w:bCs/>
          <w:color w:val="17365D"/>
          <w:sz w:val="24"/>
          <w:szCs w:val="24"/>
        </w:rPr>
        <w:t xml:space="preserve">A1. Text blocks and peshat</w:t>
      </w:r>
    </w:p>
    <w:p>
      <w:pPr>
        <w:spacing w:after="90" w:before="40" w:line="264"/>
      </w:pPr>
      <w:r>
        <w:rPr>
          <w:rFonts w:ascii="Arial" w:cs="Arial" w:eastAsia="Arial" w:hAnsi="Arial"/>
          <w:i/>
          <w:iCs/>
          <w:color w:val="6A6A6A"/>
          <w:sz w:val="18"/>
          <w:szCs w:val="18"/>
        </w:rPr>
        <w:t xml:space="preserve">→  Read block by block. Note first what it says, then the key word or contrast, and only then a genuine open question — without an answer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200"/>
        <w:gridCol w:w="2226"/>
      </w:tblGrid>
      <w:tr>
        <w:trPr>
          <w:tblHeader/>
        </w:trPr>
        <w:tc>
          <w:tcPr>
            <w:tcW w:type="dxa" w:w="1400"/>
            <w:shd w:fill="D9D9D9" w:val="clear"/>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Text block</w:t>
            </w:r>
          </w:p>
        </w:tc>
        <w:tc>
          <w:tcPr>
            <w:tcW w:type="dxa" w:w="3200"/>
            <w:shd w:fill="D9D9D9" w:val="clear"/>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What does it say? (peshat)</w:t>
            </w:r>
          </w:p>
        </w:tc>
        <w:tc>
          <w:tcPr>
            <w:tcW w:type="dxa" w:w="2200"/>
            <w:shd w:fill="D9D9D9" w:val="clear"/>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Key words / contrast</w:t>
            </w:r>
          </w:p>
        </w:tc>
        <w:tc>
          <w:tcPr>
            <w:tcW w:type="dxa" w:w="2226"/>
            <w:shd w:fill="D9D9D9" w:val="clear"/>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Open question</w:t>
            </w:r>
          </w:p>
        </w:tc>
      </w:tr>
      <w:tr>
        <w:tc>
          <w:tcPr>
            <w:tcW w:type="dxa" w:w="1400"/>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16:18–20</w:t>
            </w:r>
          </w:p>
        </w:tc>
        <w:tc>
          <w:tcPr>
            <w:tcW w:type="dxa" w:w="3200"/>
            <w:tcMar>
              <w:top w:type="dxa" w:w="60"/>
              <w:left w:type="dxa" w:w="90"/>
              <w:bottom w:type="dxa" w:w="60"/>
              <w:right w:type="dxa" w:w="90"/>
            </w:tcMar>
          </w:tcPr>
          <w:p>
            <w:pPr>
              <w:spacing w:after="0" w:line="260"/>
            </w:pPr>
            <w:r>
              <w:rPr>
                <w:rFonts w:ascii="Arial" w:cs="Arial" w:eastAsia="Arial" w:hAnsi="Arial"/>
                <w:color w:val="1F1F1F"/>
                <w:sz w:val="18"/>
                <w:szCs w:val="18"/>
              </w:rPr>
              <w:t xml:space="preserve">Appoint judges in all your gates; no bribe or partiality; ‘justice, justice you shall pursue’.</w:t>
            </w:r>
          </w:p>
        </w:tc>
        <w:tc>
          <w:tcPr>
            <w:tcW w:type="dxa" w:w="2200"/>
            <w:tcMar>
              <w:top w:type="dxa" w:w="60"/>
              <w:left w:type="dxa" w:w="90"/>
              <w:bottom w:type="dxa" w:w="60"/>
              <w:right w:type="dxa" w:w="90"/>
            </w:tcMar>
          </w:tcPr>
          <w:p>
            <w:pPr>
              <w:spacing w:after="0" w:line="260"/>
            </w:pPr>
            <w:r>
              <w:rPr>
                <w:rFonts w:ascii="Arial" w:cs="Arial" w:eastAsia="Arial" w:hAnsi="Arial"/>
                <w:color w:val="1F1F1F"/>
                <w:sz w:val="18"/>
                <w:szCs w:val="18"/>
              </w:rPr>
              <w:t xml:space="preserve">tzedek tzedek (2×) · pursue · righteous means</w:t>
            </w:r>
          </w:p>
        </w:tc>
        <w:tc>
          <w:tcPr>
            <w:tcW w:type="dxa" w:w="2226"/>
            <w:tcMar>
              <w:top w:type="dxa" w:w="60"/>
              <w:left w:type="dxa" w:w="90"/>
              <w:bottom w:type="dxa" w:w="60"/>
              <w:right w:type="dxa" w:w="90"/>
            </w:tcMar>
          </w:tcPr>
          <w:p>
            <w:pPr>
              <w:spacing w:after="0" w:line="260"/>
            </w:pPr>
            <w:r>
              <w:rPr>
                <w:rFonts w:ascii="Arial" w:cs="Arial" w:eastAsia="Arial" w:hAnsi="Arial"/>
                <w:color w:val="1F1F1F"/>
                <w:sz w:val="18"/>
                <w:szCs w:val="18"/>
              </w:rPr>
              <w:t xml:space="preserve">Why does ‘justice’ appear twice?</w:t>
            </w:r>
          </w:p>
        </w:tc>
      </w:tr>
      <w:tr>
        <w:tc>
          <w:tcPr>
            <w:tcW w:type="dxa" w:w="1400"/>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17:8–13</w:t>
            </w:r>
          </w:p>
        </w:tc>
        <w:tc>
          <w:tcPr>
            <w:tcW w:type="dxa" w:w="3200"/>
            <w:tcMar>
              <w:top w:type="dxa" w:w="60"/>
              <w:left w:type="dxa" w:w="90"/>
              <w:bottom w:type="dxa" w:w="60"/>
              <w:right w:type="dxa" w:w="90"/>
            </w:tcMar>
          </w:tcPr>
          <w:p>
            <w:pPr>
              <w:spacing w:after="0" w:line="260"/>
            </w:pPr>
            <w:r>
              <w:rPr>
                <w:rFonts w:ascii="Arial" w:cs="Arial" w:eastAsia="Arial" w:hAnsi="Arial"/>
                <w:color w:val="1F1F1F"/>
                <w:sz w:val="18"/>
                <w:szCs w:val="18"/>
              </w:rPr>
              <w:t xml:space="preserve">Too-difficult cases go to the high court at the chosen place; the ruling is binding.</w:t>
            </w:r>
          </w:p>
        </w:tc>
        <w:tc>
          <w:tcPr>
            <w:tcW w:type="dxa" w:w="2200"/>
            <w:tcMar>
              <w:top w:type="dxa" w:w="60"/>
              <w:left w:type="dxa" w:w="90"/>
              <w:bottom w:type="dxa" w:w="60"/>
              <w:right w:type="dxa" w:w="90"/>
            </w:tcMar>
          </w:tcPr>
          <w:p>
            <w:pPr>
              <w:spacing w:after="0" w:line="260"/>
            </w:pPr>
            <w:r>
              <w:rPr>
                <w:rFonts w:ascii="Arial" w:cs="Arial" w:eastAsia="Arial" w:hAnsi="Arial"/>
                <w:color w:val="1F1F1F"/>
                <w:sz w:val="18"/>
                <w:szCs w:val="18"/>
              </w:rPr>
              <w:t xml:space="preserve">high court · binding authority</w:t>
            </w:r>
          </w:p>
        </w:tc>
        <w:tc>
          <w:tcPr>
            <w:tcW w:type="dxa" w:w="2226"/>
            <w:tcMar>
              <w:top w:type="dxa" w:w="60"/>
              <w:left w:type="dxa" w:w="90"/>
              <w:bottom w:type="dxa" w:w="60"/>
              <w:right w:type="dxa" w:w="90"/>
            </w:tcMar>
          </w:tcPr>
          <w:p>
            <w:pPr>
              <w:spacing w:after="0" w:line="260"/>
            </w:pPr>
            <w:r>
              <w:rPr>
                <w:rFonts w:ascii="Arial" w:cs="Arial" w:eastAsia="Arial" w:hAnsi="Arial"/>
                <w:color w:val="1F1F1F"/>
                <w:sz w:val="18"/>
                <w:szCs w:val="18"/>
              </w:rPr>
              <w:t xml:space="preserve">Why not let each administer his own justice?</w:t>
            </w:r>
          </w:p>
        </w:tc>
      </w:tr>
      <w:tr>
        <w:tc>
          <w:tcPr>
            <w:tcW w:type="dxa" w:w="1400"/>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17:14–20</w:t>
            </w:r>
          </w:p>
        </w:tc>
        <w:tc>
          <w:tcPr>
            <w:tcW w:type="dxa" w:w="3200"/>
            <w:tcMar>
              <w:top w:type="dxa" w:w="60"/>
              <w:left w:type="dxa" w:w="90"/>
              <w:bottom w:type="dxa" w:w="60"/>
              <w:right w:type="dxa" w:w="90"/>
            </w:tcMar>
          </w:tcPr>
          <w:p>
            <w:pPr>
              <w:spacing w:after="0" w:line="260"/>
            </w:pPr>
            <w:r>
              <w:rPr>
                <w:rFonts w:ascii="Arial" w:cs="Arial" w:eastAsia="Arial" w:hAnsi="Arial"/>
                <w:color w:val="1F1F1F"/>
                <w:sz w:val="18"/>
                <w:szCs w:val="18"/>
              </w:rPr>
              <w:t xml:space="preserve">The king whom God chooses; no horses/wives/gold; he writes out the Torah and reads for life, ‘that his heart may not be lifted up’.</w:t>
            </w:r>
          </w:p>
        </w:tc>
        <w:tc>
          <w:tcPr>
            <w:tcW w:type="dxa" w:w="2200"/>
            <w:tcMar>
              <w:top w:type="dxa" w:w="60"/>
              <w:left w:type="dxa" w:w="90"/>
              <w:bottom w:type="dxa" w:w="60"/>
              <w:right w:type="dxa" w:w="90"/>
            </w:tcMar>
          </w:tcPr>
          <w:p>
            <w:pPr>
              <w:spacing w:after="0" w:line="260"/>
            </w:pPr>
            <w:r>
              <w:rPr>
                <w:rFonts w:ascii="Arial" w:cs="Arial" w:eastAsia="Arial" w:hAnsi="Arial"/>
                <w:color w:val="1F1F1F"/>
                <w:sz w:val="18"/>
                <w:szCs w:val="18"/>
              </w:rPr>
              <w:t xml:space="preserve">God chooses · copy of the Torah · heart not lifted up</w:t>
            </w:r>
          </w:p>
        </w:tc>
        <w:tc>
          <w:tcPr>
            <w:tcW w:type="dxa" w:w="2226"/>
            <w:tcMar>
              <w:top w:type="dxa" w:w="60"/>
              <w:left w:type="dxa" w:w="90"/>
              <w:bottom w:type="dxa" w:w="60"/>
              <w:right w:type="dxa" w:w="90"/>
            </w:tcMar>
          </w:tcPr>
          <w:p>
            <w:pPr>
              <w:spacing w:after="0" w:line="260"/>
            </w:pPr>
            <w:r>
              <w:rPr>
                <w:rFonts w:ascii="Arial" w:cs="Arial" w:eastAsia="Arial" w:hAnsi="Arial"/>
                <w:color w:val="1F1F1F"/>
                <w:sz w:val="18"/>
                <w:szCs w:val="18"/>
              </w:rPr>
              <w:t xml:space="preserve">What does that limit do to the kingship?</w:t>
            </w:r>
          </w:p>
        </w:tc>
      </w:tr>
      <w:tr>
        <w:tc>
          <w:tcPr>
            <w:tcW w:type="dxa" w:w="1400"/>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18:9–22</w:t>
            </w:r>
          </w:p>
        </w:tc>
        <w:tc>
          <w:tcPr>
            <w:tcW w:type="dxa" w:w="3200"/>
            <w:tcMar>
              <w:top w:type="dxa" w:w="60"/>
              <w:left w:type="dxa" w:w="90"/>
              <w:bottom w:type="dxa" w:w="60"/>
              <w:right w:type="dxa" w:w="90"/>
            </w:tcMar>
          </w:tcPr>
          <w:p>
            <w:pPr>
              <w:spacing w:after="0" w:line="260"/>
            </w:pPr>
            <w:r>
              <w:rPr>
                <w:rFonts w:ascii="Arial" w:cs="Arial" w:eastAsia="Arial" w:hAnsi="Arial"/>
                <w:color w:val="1F1F1F"/>
                <w:sz w:val="18"/>
                <w:szCs w:val="18"/>
              </w:rPr>
              <w:t xml:space="preserve">No divination (not like the nations); ‘you shall be blameless’; the prophet like Moses, with the test: does his word come true?</w:t>
            </w:r>
          </w:p>
        </w:tc>
        <w:tc>
          <w:tcPr>
            <w:tcW w:type="dxa" w:w="2200"/>
            <w:tcMar>
              <w:top w:type="dxa" w:w="60"/>
              <w:left w:type="dxa" w:w="90"/>
              <w:bottom w:type="dxa" w:w="60"/>
              <w:right w:type="dxa" w:w="90"/>
            </w:tcMar>
          </w:tcPr>
          <w:p>
            <w:pPr>
              <w:spacing w:after="0" w:line="260"/>
            </w:pPr>
            <w:r>
              <w:rPr>
                <w:rFonts w:ascii="Arial" w:cs="Arial" w:eastAsia="Arial" w:hAnsi="Arial"/>
                <w:color w:val="1F1F1F"/>
                <w:sz w:val="18"/>
                <w:szCs w:val="18"/>
              </w:rPr>
              <w:t xml:space="preserve">tamim/blameless · directed at God vs at self · prophet test</w:t>
            </w:r>
          </w:p>
        </w:tc>
        <w:tc>
          <w:tcPr>
            <w:tcW w:type="dxa" w:w="2226"/>
            <w:tcMar>
              <w:top w:type="dxa" w:w="60"/>
              <w:left w:type="dxa" w:w="90"/>
              <w:bottom w:type="dxa" w:w="60"/>
              <w:right w:type="dxa" w:w="90"/>
            </w:tcMar>
          </w:tcPr>
          <w:p>
            <w:pPr>
              <w:spacing w:after="0" w:line="260"/>
            </w:pPr>
            <w:r>
              <w:rPr>
                <w:rFonts w:ascii="Arial" w:cs="Arial" w:eastAsia="Arial" w:hAnsi="Arial"/>
                <w:color w:val="1F1F1F"/>
                <w:sz w:val="18"/>
                <w:szCs w:val="18"/>
              </w:rPr>
              <w:t xml:space="preserve">If a sign comes true, is that proof?</w:t>
            </w:r>
          </w:p>
        </w:tc>
      </w:tr>
      <w:tr>
        <w:tc>
          <w:tcPr>
            <w:tcW w:type="dxa" w:w="1400"/>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19:15–21</w:t>
            </w:r>
          </w:p>
        </w:tc>
        <w:tc>
          <w:tcPr>
            <w:tcW w:type="dxa" w:w="3200"/>
            <w:tcMar>
              <w:top w:type="dxa" w:w="60"/>
              <w:left w:type="dxa" w:w="90"/>
              <w:bottom w:type="dxa" w:w="60"/>
              <w:right w:type="dxa" w:w="90"/>
            </w:tcMar>
          </w:tcPr>
          <w:p>
            <w:pPr>
              <w:spacing w:after="0" w:line="260"/>
            </w:pPr>
            <w:r>
              <w:rPr>
                <w:rFonts w:ascii="Arial" w:cs="Arial" w:eastAsia="Arial" w:hAnsi="Arial"/>
                <w:color w:val="1F1F1F"/>
                <w:sz w:val="18"/>
                <w:szCs w:val="18"/>
              </w:rPr>
              <w:t xml:space="preserve">Two or three witnesses, not one; careful investigation; the false witness; ‘eye for eye’ as proportionality.</w:t>
            </w:r>
          </w:p>
        </w:tc>
        <w:tc>
          <w:tcPr>
            <w:tcW w:type="dxa" w:w="2200"/>
            <w:tcMar>
              <w:top w:type="dxa" w:w="60"/>
              <w:left w:type="dxa" w:w="90"/>
              <w:bottom w:type="dxa" w:w="60"/>
              <w:right w:type="dxa" w:w="90"/>
            </w:tcMar>
          </w:tcPr>
          <w:p>
            <w:pPr>
              <w:spacing w:after="0" w:line="260"/>
            </w:pPr>
            <w:r>
              <w:rPr>
                <w:rFonts w:ascii="Arial" w:cs="Arial" w:eastAsia="Arial" w:hAnsi="Arial"/>
                <w:color w:val="1F1F1F"/>
                <w:sz w:val="18"/>
                <w:szCs w:val="18"/>
              </w:rPr>
              <w:t xml:space="preserve">two witnesses · investigation · proportionality</w:t>
            </w:r>
          </w:p>
        </w:tc>
        <w:tc>
          <w:tcPr>
            <w:tcW w:type="dxa" w:w="2226"/>
            <w:tcMar>
              <w:top w:type="dxa" w:w="60"/>
              <w:left w:type="dxa" w:w="90"/>
              <w:bottom w:type="dxa" w:w="60"/>
              <w:right w:type="dxa" w:w="90"/>
            </w:tcMar>
          </w:tcPr>
          <w:p>
            <w:pPr>
              <w:spacing w:after="0" w:line="260"/>
            </w:pPr>
            <w:r>
              <w:rPr>
                <w:rFonts w:ascii="Arial" w:cs="Arial" w:eastAsia="Arial" w:hAnsi="Arial"/>
                <w:color w:val="1F1F1F"/>
                <w:sz w:val="18"/>
                <w:szCs w:val="18"/>
              </w:rPr>
              <w:t xml:space="preserve">Is ‘eye for eye’ an incitement or a limit?</w:t>
            </w:r>
          </w:p>
        </w:tc>
      </w:tr>
      <w:tr>
        <w:tc>
          <w:tcPr>
            <w:tcW w:type="dxa" w:w="1400"/>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20:19–20; 21:1–9</w:t>
            </w:r>
          </w:p>
        </w:tc>
        <w:tc>
          <w:tcPr>
            <w:tcW w:type="dxa" w:w="3200"/>
            <w:tcMar>
              <w:top w:type="dxa" w:w="60"/>
              <w:left w:type="dxa" w:w="90"/>
              <w:bottom w:type="dxa" w:w="60"/>
              <w:right w:type="dxa" w:w="90"/>
            </w:tcMar>
          </w:tcPr>
          <w:p>
            <w:pPr>
              <w:spacing w:after="0" w:line="260"/>
            </w:pPr>
            <w:r>
              <w:rPr>
                <w:rFonts w:ascii="Arial" w:cs="Arial" w:eastAsia="Arial" w:hAnsi="Arial"/>
                <w:color w:val="1F1F1F"/>
                <w:sz w:val="18"/>
                <w:szCs w:val="18"/>
              </w:rPr>
              <w:t xml:space="preserve">Spare the fruit tree in war (‘is the tree a man?’); at an unsolved murder the elders wash their hands over innocent blood.</w:t>
            </w:r>
          </w:p>
        </w:tc>
        <w:tc>
          <w:tcPr>
            <w:tcW w:type="dxa" w:w="2200"/>
            <w:tcMar>
              <w:top w:type="dxa" w:w="60"/>
              <w:left w:type="dxa" w:w="90"/>
              <w:bottom w:type="dxa" w:w="60"/>
              <w:right w:type="dxa" w:w="90"/>
            </w:tcMar>
          </w:tcPr>
          <w:p>
            <w:pPr>
              <w:spacing w:after="0" w:line="260"/>
            </w:pPr>
            <w:r>
              <w:rPr>
                <w:rFonts w:ascii="Arial" w:cs="Arial" w:eastAsia="Arial" w:hAnsi="Arial"/>
                <w:color w:val="1F1F1F"/>
                <w:sz w:val="18"/>
                <w:szCs w:val="18"/>
              </w:rPr>
              <w:t xml:space="preserve">limit in war · ‘our hands… have not shed’</w:t>
            </w:r>
          </w:p>
        </w:tc>
        <w:tc>
          <w:tcPr>
            <w:tcW w:type="dxa" w:w="2226"/>
            <w:tcMar>
              <w:top w:type="dxa" w:w="60"/>
              <w:left w:type="dxa" w:w="90"/>
              <w:bottom w:type="dxa" w:w="60"/>
              <w:right w:type="dxa" w:w="90"/>
            </w:tcMar>
          </w:tcPr>
          <w:p>
            <w:pPr>
              <w:spacing w:after="0" w:line="260"/>
            </w:pPr>
            <w:r>
              <w:rPr>
                <w:rFonts w:ascii="Arial" w:cs="Arial" w:eastAsia="Arial" w:hAnsi="Arial"/>
                <w:color w:val="1F1F1F"/>
                <w:sz w:val="18"/>
                <w:szCs w:val="18"/>
              </w:rPr>
              <w:t xml:space="preserve">Why a limit precisely where power is greatest?</w:t>
            </w:r>
          </w:p>
        </w:tc>
      </w:tr>
    </w:tbl>
    <w:p>
      <w:pPr>
        <w:pStyle w:val="Heading1"/>
        <w:spacing w:after="120" w:before="300"/>
      </w:pPr>
      <w:r>
        <w:rPr>
          <w:rFonts w:ascii="Arial" w:cs="Arial" w:eastAsia="Arial" w:hAnsi="Arial"/>
          <w:b/>
          <w:bCs/>
          <w:color w:val="17365D"/>
          <w:sz w:val="24"/>
          <w:szCs w:val="24"/>
        </w:rPr>
        <w:t xml:space="preserve">A2. Connecting hypotheses</w:t>
      </w:r>
    </w:p>
    <w:p>
      <w:pPr>
        <w:spacing w:after="90" w:before="40" w:line="264"/>
      </w:pPr>
      <w:r>
        <w:rPr>
          <w:rFonts w:ascii="Arial" w:cs="Arial" w:eastAsia="Arial" w:hAnsi="Arial"/>
          <w:i/>
          <w:iCs/>
          <w:color w:val="6A6A6A"/>
          <w:sz w:val="18"/>
          <w:szCs w:val="18"/>
        </w:rPr>
        <w:t xml:space="preserve">→  Formulate two readings the text could carry, and choose with the test: which explains the most data with the least force? Also name what could refute your reading.</w:t>
      </w:r>
    </w:p>
    <w:p>
      <w:pPr>
        <w:spacing w:after="70" w:before="0" w:line="276"/>
      </w:pPr>
      <w:r>
        <w:rPr>
          <w:rFonts w:ascii="Arial" w:cs="Arial" w:eastAsia="Arial" w:hAnsi="Arial"/>
          <w:b/>
          <w:bCs/>
          <w:color w:val="1F1F1F"/>
          <w:sz w:val="21"/>
          <w:szCs w:val="21"/>
        </w:rPr>
        <w:t xml:space="preserve">Hypothesis 1 (one axis): </w:t>
      </w:r>
      <w:r>
        <w:rPr>
          <w:rFonts w:ascii="Arial" w:cs="Arial" w:eastAsia="Arial" w:hAnsi="Arial"/>
          <w:color w:val="1F1F1F"/>
          <w:sz w:val="21"/>
          <w:szCs w:val="21"/>
        </w:rPr>
        <w:t xml:space="preserve">the center of gravity is the Source axis alone — all authority comes from God (king, prophet, priest). The limits are then merely an outworking of that legitimacy.</w:t>
      </w:r>
    </w:p>
    <w:p>
      <w:pPr>
        <w:spacing w:after="70" w:before="0" w:line="276"/>
      </w:pPr>
      <w:r>
        <w:rPr>
          <w:rFonts w:ascii="Arial" w:cs="Arial" w:eastAsia="Arial" w:hAnsi="Arial"/>
          <w:b/>
          <w:bCs/>
          <w:color w:val="1F1F1F"/>
          <w:sz w:val="21"/>
          <w:szCs w:val="21"/>
        </w:rPr>
        <w:t xml:space="preserve">Hypothesis 2 (relation): </w:t>
      </w:r>
      <w:r>
        <w:rPr>
          <w:rFonts w:ascii="Arial" w:cs="Arial" w:eastAsia="Arial" w:hAnsi="Arial"/>
          <w:color w:val="1F1F1F"/>
          <w:sz w:val="21"/>
          <w:szCs w:val="21"/>
        </w:rPr>
        <w:t xml:space="preserve">the center of gravity is the relation between Source and Coherence — authority is given, AND precisely therefore bounded, testable, and accountable.</w:t>
      </w:r>
    </w:p>
    <w:p>
      <w:pPr>
        <w:spacing w:after="70" w:before="40" w:line="276"/>
      </w:pPr>
      <w:r>
        <w:rPr>
          <w:rFonts w:ascii="Arial" w:cs="Arial" w:eastAsia="Arial" w:hAnsi="Arial"/>
          <w:b/>
          <w:bCs/>
          <w:color w:val="1F1F1F"/>
          <w:sz w:val="21"/>
          <w:szCs w:val="21"/>
        </w:rPr>
        <w:t xml:space="preserve">Which explains the most data with the least force?  </w:t>
      </w:r>
      <w:r>
        <w:rPr>
          <w:rFonts w:ascii="Arial" w:cs="Arial" w:eastAsia="Arial" w:hAnsi="Arial"/>
          <w:color w:val="1F1F1F"/>
          <w:sz w:val="21"/>
          <w:szCs w:val="21"/>
        </w:rPr>
        <w:t xml:space="preserve">Hypothesis 2. Hypothesis 1 explains the source, but makes the overwhelming emphasis on limits (king-under-the-Torah, prophet test, witnesses, proportionality, the fruit tree) a side issue — that costs force. Hypothesis 2 explains both, and the text stages the coupling itself: 17:18–20 binds the source (God chooses the king) to the limit (he writes out the Torah), and 18:15–22 binds the prophet’s legitimacy to the test.</w:t>
      </w:r>
    </w:p>
    <w:p>
      <w:pPr>
        <w:spacing w:after="140" w:before="0" w:line="276"/>
      </w:pPr>
      <w:r>
        <w:rPr>
          <w:rFonts w:ascii="Arial" w:cs="Arial" w:eastAsia="Arial" w:hAnsi="Arial"/>
          <w:b/>
          <w:bCs/>
          <w:color w:val="1F1F1F"/>
          <w:sz w:val="21"/>
          <w:szCs w:val="21"/>
        </w:rPr>
        <w:t xml:space="preserve">What would refute this reading?  </w:t>
      </w:r>
      <w:r>
        <w:rPr>
          <w:rFonts w:ascii="Arial" w:cs="Arial" w:eastAsia="Arial" w:hAnsi="Arial"/>
          <w:color w:val="1F1F1F"/>
          <w:sz w:val="21"/>
          <w:szCs w:val="21"/>
        </w:rPr>
        <w:t xml:space="preserve">If 17:18–20 and 18:15–22 turned out not to be structural hinges but loose rules, the relation would be imposed. Honest limit: hypothesis 2 risks a too-neat synthesis; the safeguard is that those verses name source AND limit in one breath.</w:t>
      </w:r>
    </w:p>
    <w:p>
      <w:pPr>
        <w:pStyle w:val="Heading1"/>
        <w:spacing w:after="120" w:before="300"/>
      </w:pPr>
      <w:r>
        <w:rPr>
          <w:rFonts w:ascii="Arial" w:cs="Arial" w:eastAsia="Arial" w:hAnsi="Arial"/>
          <w:b/>
          <w:bCs/>
          <w:color w:val="17365D"/>
          <w:sz w:val="24"/>
          <w:szCs w:val="24"/>
        </w:rPr>
        <w:t xml:space="preserve">A3. Four axes</w:t>
      </w:r>
    </w:p>
    <w:p>
      <w:pPr>
        <w:spacing w:after="90" w:before="40" w:line="264"/>
      </w:pPr>
      <w:r>
        <w:rPr>
          <w:rFonts w:ascii="Arial" w:cs="Arial" w:eastAsia="Arial" w:hAnsi="Arial"/>
          <w:i/>
          <w:iCs/>
          <w:color w:val="6A6A6A"/>
          <w:sz w:val="18"/>
          <w:szCs w:val="18"/>
        </w:rPr>
        <w:t xml:space="preserve">→  Fill in the text anchors and a short diagnosis per axis. Leave the last column for what your reading does not smooth over — the anomaly that honestly stays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000"/>
        <w:gridCol w:w="2326"/>
      </w:tblGrid>
      <w:tr>
        <w:trPr>
          <w:tblHeader/>
        </w:trPr>
        <w:tc>
          <w:tcPr>
            <w:tcW w:type="dxa" w:w="1300"/>
            <w:shd w:fill="D9D9D9" w:val="clear"/>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Axis</w:t>
            </w:r>
          </w:p>
        </w:tc>
        <w:tc>
          <w:tcPr>
            <w:tcW w:type="dxa" w:w="2400"/>
            <w:shd w:fill="D9D9D9" w:val="clear"/>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Text anchors</w:t>
            </w:r>
          </w:p>
        </w:tc>
        <w:tc>
          <w:tcPr>
            <w:tcW w:type="dxa" w:w="3000"/>
            <w:shd w:fill="D9D9D9" w:val="clear"/>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Diagnosis</w:t>
            </w:r>
          </w:p>
        </w:tc>
        <w:tc>
          <w:tcPr>
            <w:tcW w:type="dxa" w:w="2326"/>
            <w:shd w:fill="D9D9D9" w:val="clear"/>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Open anomaly</w:t>
            </w:r>
          </w:p>
        </w:tc>
      </w:tr>
      <w:tr>
        <w:tc>
          <w:tcPr>
            <w:tcW w:type="dxa" w:w="1300"/>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Source</w:t>
            </w:r>
          </w:p>
        </w:tc>
        <w:tc>
          <w:tcPr>
            <w:tcW w:type="dxa" w:w="2400"/>
            <w:tcMar>
              <w:top w:type="dxa" w:w="60"/>
              <w:left w:type="dxa" w:w="90"/>
              <w:bottom w:type="dxa" w:w="60"/>
              <w:right w:type="dxa" w:w="90"/>
            </w:tcMar>
          </w:tcPr>
          <w:p>
            <w:pPr>
              <w:spacing w:after="0" w:line="260"/>
            </w:pPr>
            <w:r>
              <w:rPr>
                <w:rFonts w:ascii="Arial" w:cs="Arial" w:eastAsia="Arial" w:hAnsi="Arial"/>
                <w:color w:val="1F1F1F"/>
                <w:sz w:val="18"/>
                <w:szCs w:val="18"/>
              </w:rPr>
              <w:t xml:space="preserve">17:15 (king) · 18:15 (prophet) · 18:2 (priest)</w:t>
            </w:r>
          </w:p>
        </w:tc>
        <w:tc>
          <w:tcPr>
            <w:tcW w:type="dxa" w:w="3000"/>
            <w:tcMar>
              <w:top w:type="dxa" w:w="60"/>
              <w:left w:type="dxa" w:w="90"/>
              <w:bottom w:type="dxa" w:w="60"/>
              <w:right w:type="dxa" w:w="90"/>
            </w:tcMar>
          </w:tcPr>
          <w:p>
            <w:pPr>
              <w:spacing w:after="0" w:line="260"/>
            </w:pPr>
            <w:r>
              <w:rPr>
                <w:rFonts w:ascii="Arial" w:cs="Arial" w:eastAsia="Arial" w:hAnsi="Arial"/>
                <w:color w:val="1F1F1F"/>
                <w:sz w:val="18"/>
                <w:szCs w:val="18"/>
              </w:rPr>
              <w:t xml:space="preserve">Dominant. All authority is given, not arrogated; illegitimate sources are rejected.</w:t>
            </w:r>
          </w:p>
        </w:tc>
        <w:tc>
          <w:tcPr>
            <w:tcW w:type="dxa" w:w="2326"/>
            <w:tcMar>
              <w:top w:type="dxa" w:w="60"/>
              <w:left w:type="dxa" w:w="90"/>
              <w:bottom w:type="dxa" w:w="60"/>
              <w:right w:type="dxa" w:w="90"/>
            </w:tcMar>
          </w:tcPr>
          <w:p>
            <w:pPr>
              <w:spacing w:after="0" w:line="260"/>
            </w:pPr>
            <w:r>
              <w:rPr>
                <w:rFonts w:ascii="Arial" w:cs="Arial" w:eastAsia="Arial" w:hAnsi="Arial"/>
                <w:color w:val="1F1F1F"/>
                <w:sz w:val="18"/>
                <w:szCs w:val="18"/>
              </w:rPr>
              <w:t xml:space="preserve">Why permit a king at all if it is so risky?</w:t>
            </w:r>
          </w:p>
        </w:tc>
      </w:tr>
      <w:tr>
        <w:tc>
          <w:tcPr>
            <w:tcW w:type="dxa" w:w="1300"/>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Trajectory</w:t>
            </w:r>
          </w:p>
        </w:tc>
        <w:tc>
          <w:tcPr>
            <w:tcW w:type="dxa" w:w="2400"/>
            <w:tcMar>
              <w:top w:type="dxa" w:w="60"/>
              <w:left w:type="dxa" w:w="90"/>
              <w:bottom w:type="dxa" w:w="60"/>
              <w:right w:type="dxa" w:w="90"/>
            </w:tcMar>
          </w:tcPr>
          <w:p>
            <w:pPr>
              <w:spacing w:after="0" w:line="260"/>
            </w:pPr>
            <w:r>
              <w:rPr>
                <w:rFonts w:ascii="Arial" w:cs="Arial" w:eastAsia="Arial" w:hAnsi="Arial"/>
                <w:color w:val="1F1F1F"/>
                <w:sz w:val="18"/>
                <w:szCs w:val="18"/>
              </w:rPr>
              <w:t xml:space="preserve">17:14 (‘when you come into the land’)</w:t>
            </w:r>
          </w:p>
        </w:tc>
        <w:tc>
          <w:tcPr>
            <w:tcW w:type="dxa" w:w="3000"/>
            <w:tcMar>
              <w:top w:type="dxa" w:w="60"/>
              <w:left w:type="dxa" w:w="90"/>
              <w:bottom w:type="dxa" w:w="60"/>
              <w:right w:type="dxa" w:w="90"/>
            </w:tcMar>
          </w:tcPr>
          <w:p>
            <w:pPr>
              <w:spacing w:after="0" w:line="260"/>
            </w:pPr>
            <w:r>
              <w:rPr>
                <w:rFonts w:ascii="Arial" w:cs="Arial" w:eastAsia="Arial" w:hAnsi="Arial"/>
                <w:color w:val="1F1F1F"/>
                <w:sz w:val="18"/>
                <w:szCs w:val="18"/>
              </w:rPr>
              <w:t xml:space="preserve">Thin. Points forward to the future, instituted order.</w:t>
            </w:r>
          </w:p>
        </w:tc>
        <w:tc>
          <w:tcPr>
            <w:tcW w:type="dxa" w:w="2326"/>
            <w:tcMar>
              <w:top w:type="dxa" w:w="60"/>
              <w:left w:type="dxa" w:w="90"/>
              <w:bottom w:type="dxa" w:w="60"/>
              <w:right w:type="dxa" w:w="90"/>
            </w:tcMar>
          </w:tcPr>
          <w:p>
            <w:pPr>
              <w:spacing w:after="0" w:line="260"/>
            </w:pPr>
            <w:r>
              <w:rPr>
                <w:rFonts w:ascii="Arial" w:cs="Arial" w:eastAsia="Arial" w:hAnsi="Arial"/>
                <w:color w:val="1F1F1F"/>
                <w:sz w:val="18"/>
                <w:szCs w:val="18"/>
              </w:rPr>
              <w:t xml:space="preserve">Is the self-exalting king past, or a lasting temptation?</w:t>
            </w:r>
          </w:p>
        </w:tc>
      </w:tr>
      <w:tr>
        <w:tc>
          <w:tcPr>
            <w:tcW w:type="dxa" w:w="1300"/>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Will</w:t>
            </w:r>
          </w:p>
        </w:tc>
        <w:tc>
          <w:tcPr>
            <w:tcW w:type="dxa" w:w="2400"/>
            <w:tcMar>
              <w:top w:type="dxa" w:w="60"/>
              <w:left w:type="dxa" w:w="90"/>
              <w:bottom w:type="dxa" w:w="60"/>
              <w:right w:type="dxa" w:w="90"/>
            </w:tcMar>
          </w:tcPr>
          <w:p>
            <w:pPr>
              <w:spacing w:after="0" w:line="260"/>
            </w:pPr>
            <w:r>
              <w:rPr>
                <w:rFonts w:ascii="Arial" w:cs="Arial" w:eastAsia="Arial" w:hAnsi="Arial"/>
                <w:color w:val="1F1F1F"/>
                <w:sz w:val="18"/>
                <w:szCs w:val="18"/>
              </w:rPr>
              <w:t xml:space="preserve">16:20 (pursue) · 16:18 (appoint) · 21:6 (wash hands)</w:t>
            </w:r>
          </w:p>
        </w:tc>
        <w:tc>
          <w:tcPr>
            <w:tcW w:type="dxa" w:w="3000"/>
            <w:tcMar>
              <w:top w:type="dxa" w:w="60"/>
              <w:left w:type="dxa" w:w="90"/>
              <w:bottom w:type="dxa" w:w="60"/>
              <w:right w:type="dxa" w:w="90"/>
            </w:tcMar>
          </w:tcPr>
          <w:p>
            <w:pPr>
              <w:spacing w:after="0" w:line="260"/>
            </w:pPr>
            <w:r>
              <w:rPr>
                <w:rFonts w:ascii="Arial" w:cs="Arial" w:eastAsia="Arial" w:hAnsi="Arial"/>
                <w:color w:val="1F1F1F"/>
                <w:sz w:val="18"/>
                <w:szCs w:val="18"/>
              </w:rPr>
              <w:t xml:space="preserve">Bounded-active: pursue justice, establish offices, carry responsibility.</w:t>
            </w:r>
          </w:p>
        </w:tc>
        <w:tc>
          <w:tcPr>
            <w:tcW w:type="dxa" w:w="2326"/>
            <w:tcMar>
              <w:top w:type="dxa" w:w="60"/>
              <w:left w:type="dxa" w:w="90"/>
              <w:bottom w:type="dxa" w:w="60"/>
              <w:right w:type="dxa" w:w="90"/>
            </w:tcMar>
          </w:tcPr>
          <w:p>
            <w:pPr>
              <w:spacing w:after="0" w:line="260"/>
            </w:pPr>
            <w:r>
              <w:rPr>
                <w:rFonts w:ascii="Arial" w:cs="Arial" w:eastAsia="Arial" w:hAnsi="Arial"/>
                <w:color w:val="1F1F1F"/>
                <w:sz w:val="18"/>
                <w:szCs w:val="18"/>
              </w:rPr>
              <w:t xml:space="preserve">Where does ‘pursue’ pass over into ‘grasp’?</w:t>
            </w:r>
          </w:p>
        </w:tc>
      </w:tr>
      <w:tr>
        <w:tc>
          <w:tcPr>
            <w:tcW w:type="dxa" w:w="1300"/>
            <w:tcMar>
              <w:top w:type="dxa" w:w="60"/>
              <w:left w:type="dxa" w:w="90"/>
              <w:bottom w:type="dxa" w:w="60"/>
              <w:right w:type="dxa" w:w="90"/>
            </w:tcMar>
          </w:tcPr>
          <w:p>
            <w:pPr>
              <w:spacing w:after="0" w:line="260"/>
            </w:pPr>
            <w:r>
              <w:rPr>
                <w:rFonts w:ascii="Arial" w:cs="Arial" w:eastAsia="Arial" w:hAnsi="Arial"/>
                <w:b/>
                <w:bCs/>
                <w:color w:val="1F1F1F"/>
                <w:sz w:val="18"/>
                <w:szCs w:val="18"/>
              </w:rPr>
              <w:t xml:space="preserve">Coherence</w:t>
            </w:r>
          </w:p>
        </w:tc>
        <w:tc>
          <w:tcPr>
            <w:tcW w:type="dxa" w:w="2400"/>
            <w:tcMar>
              <w:top w:type="dxa" w:w="60"/>
              <w:left w:type="dxa" w:w="90"/>
              <w:bottom w:type="dxa" w:w="60"/>
              <w:right w:type="dxa" w:w="90"/>
            </w:tcMar>
          </w:tcPr>
          <w:p>
            <w:pPr>
              <w:spacing w:after="0" w:line="260"/>
            </w:pPr>
            <w:r>
              <w:rPr>
                <w:rFonts w:ascii="Arial" w:cs="Arial" w:eastAsia="Arial" w:hAnsi="Arial"/>
                <w:color w:val="1F1F1F"/>
                <w:sz w:val="18"/>
                <w:szCs w:val="18"/>
              </w:rPr>
              <w:t xml:space="preserve">17:20 (heart not lifted) · 18:22 (test) · 19:15,21 (witnesses, proportionality)</w:t>
            </w:r>
          </w:p>
        </w:tc>
        <w:tc>
          <w:tcPr>
            <w:tcW w:type="dxa" w:w="3000"/>
            <w:tcMar>
              <w:top w:type="dxa" w:w="60"/>
              <w:left w:type="dxa" w:w="90"/>
              <w:bottom w:type="dxa" w:w="60"/>
              <w:right w:type="dxa" w:w="90"/>
            </w:tcMar>
          </w:tcPr>
          <w:p>
            <w:pPr>
              <w:spacing w:after="0" w:line="260"/>
            </w:pPr>
            <w:r>
              <w:rPr>
                <w:rFonts w:ascii="Arial" w:cs="Arial" w:eastAsia="Arial" w:hAnsi="Arial"/>
                <w:color w:val="1F1F1F"/>
                <w:sz w:val="18"/>
                <w:szCs w:val="18"/>
              </w:rPr>
              <w:t xml:space="preserve">Dominant, interlocks with Source. One system of limits on power; authority stays testable.</w:t>
            </w:r>
          </w:p>
        </w:tc>
        <w:tc>
          <w:tcPr>
            <w:tcW w:type="dxa" w:w="2326"/>
            <w:tcMar>
              <w:top w:type="dxa" w:w="60"/>
              <w:left w:type="dxa" w:w="90"/>
              <w:bottom w:type="dxa" w:w="60"/>
              <w:right w:type="dxa" w:w="90"/>
            </w:tcMar>
          </w:tcPr>
          <w:p>
            <w:pPr>
              <w:spacing w:after="0" w:line="260"/>
            </w:pPr>
            <w:r>
              <w:rPr>
                <w:rFonts w:ascii="Arial" w:cs="Arial" w:eastAsia="Arial" w:hAnsi="Arial"/>
                <w:color w:val="1F1F1F"/>
                <w:sz w:val="18"/>
                <w:szCs w:val="18"/>
              </w:rPr>
              <w:t xml:space="preserve">How do you distinguish ‘correctable’ from ‘open to anything’?</w:t>
            </w:r>
          </w:p>
        </w:tc>
      </w:tr>
    </w:tbl>
    <w:p>
      <w:pPr>
        <w:spacing w:after="60" w:line="276"/>
      </w:pPr>
      <w:r>
        <w:rPr>
          <w:rFonts w:ascii="Arial" w:cs="Arial" w:eastAsia="Arial" w:hAnsi="Arial"/>
          <w:i/>
          <w:iCs/>
          <w:color w:val="6A6A6A"/>
          <w:sz w:val="19"/>
          <w:szCs w:val="19"/>
        </w:rPr>
        <w:t xml:space="preserve">Reactivity: mildly present (‘not like the nations’, 18:9) but not foregrounded — note it as observation, and do not impose it.</w:t>
      </w:r>
    </w:p>
    <w:p>
      <w:pPr>
        <w:pStyle w:val="Heading1"/>
        <w:spacing w:after="120" w:before="300"/>
      </w:pPr>
      <w:r>
        <w:rPr>
          <w:rFonts w:ascii="Arial" w:cs="Arial" w:eastAsia="Arial" w:hAnsi="Arial"/>
          <w:b/>
          <w:bCs/>
          <w:color w:val="17365D"/>
          <w:sz w:val="24"/>
          <w:szCs w:val="24"/>
        </w:rPr>
        <w:t xml:space="preserve">A4. Movement</w:t>
      </w:r>
    </w:p>
    <w:p>
      <w:pPr>
        <w:spacing w:after="90" w:before="40" w:line="264"/>
      </w:pPr>
      <w:r>
        <w:rPr>
          <w:rFonts w:ascii="Arial" w:cs="Arial" w:eastAsia="Arial" w:hAnsi="Arial"/>
          <w:i/>
          <w:iCs/>
          <w:color w:val="6A6A6A"/>
          <w:sz w:val="18"/>
          <w:szCs w:val="18"/>
        </w:rPr>
        <w:t xml:space="preserve">→  Summarize the movement: what does the text unmask, what frame does it put in its place, what response follows, and capture it in one core sentence.</w:t>
      </w:r>
    </w:p>
    <w:p>
      <w:pPr>
        <w:spacing w:after="100" w:before="0" w:line="276"/>
      </w:pPr>
      <w:r>
        <w:rPr>
          <w:rFonts w:ascii="Arial" w:cs="Arial" w:eastAsia="Arial" w:hAnsi="Arial"/>
          <w:b/>
          <w:bCs/>
          <w:color w:val="1F1F1F"/>
          <w:sz w:val="21"/>
          <w:szCs w:val="21"/>
        </w:rPr>
        <w:t xml:space="preserve">What is unmasked?  </w:t>
      </w:r>
      <w:r>
        <w:rPr>
          <w:rFonts w:ascii="Arial" w:cs="Arial" w:eastAsia="Arial" w:hAnsi="Arial"/>
          <w:color w:val="1F1F1F"/>
          <w:sz w:val="21"/>
          <w:szCs w:val="21"/>
        </w:rPr>
        <w:t xml:space="preserve">Authority that cuts itself loose from the source and makes itself the measure — the king whose heart lifts itself (17:20), the presumptuous prophet (18:20), the false witness (19:18).</w:t>
      </w:r>
    </w:p>
    <w:p>
      <w:pPr>
        <w:spacing w:after="100" w:before="0" w:line="276"/>
      </w:pPr>
      <w:r>
        <w:rPr>
          <w:rFonts w:ascii="Arial" w:cs="Arial" w:eastAsia="Arial" w:hAnsi="Arial"/>
          <w:b/>
          <w:bCs/>
          <w:color w:val="1F1F1F"/>
          <w:sz w:val="21"/>
          <w:szCs w:val="21"/>
        </w:rPr>
        <w:t xml:space="preserve">What frame does the text put in its place?  </w:t>
      </w:r>
      <w:r>
        <w:rPr>
          <w:rFonts w:ascii="Arial" w:cs="Arial" w:eastAsia="Arial" w:hAnsi="Arial"/>
          <w:color w:val="1F1F1F"/>
          <w:sz w:val="21"/>
          <w:szCs w:val="21"/>
        </w:rPr>
        <w:t xml:space="preserve">Authority that is given and therefore lets itself be tested: under the Torah, with witnesses, proportional, accountable — as a brother among brothers.</w:t>
      </w:r>
    </w:p>
    <w:p>
      <w:pPr>
        <w:spacing w:after="100" w:before="0" w:line="276"/>
      </w:pPr>
      <w:r>
        <w:rPr>
          <w:rFonts w:ascii="Arial" w:cs="Arial" w:eastAsia="Arial" w:hAnsi="Arial"/>
          <w:b/>
          <w:bCs/>
          <w:color w:val="1F1F1F"/>
          <w:sz w:val="21"/>
          <w:szCs w:val="21"/>
        </w:rPr>
        <w:t xml:space="preserve">What concrete response and formation follow?  </w:t>
      </w:r>
      <w:r>
        <w:rPr>
          <w:rFonts w:ascii="Arial" w:cs="Arial" w:eastAsia="Arial" w:hAnsi="Arial"/>
          <w:color w:val="1F1F1F"/>
          <w:sz w:val="21"/>
          <w:szCs w:val="21"/>
        </w:rPr>
        <w:t xml:space="preserve">Pursue justice by righteous means; receive your place and stay under it; carry responsibility, even for blood that does not cling to your hands.</w:t>
      </w:r>
    </w:p>
    <w:p>
      <w:pPr>
        <w:spacing w:after="140" w:before="0" w:line="276"/>
      </w:pPr>
      <w:r>
        <w:rPr>
          <w:rFonts w:ascii="Arial" w:cs="Arial" w:eastAsia="Arial" w:hAnsi="Arial"/>
          <w:b/>
          <w:bCs/>
          <w:color w:val="1F1F1F"/>
          <w:sz w:val="21"/>
          <w:szCs w:val="21"/>
        </w:rPr>
        <w:t xml:space="preserve">Core sentence:  </w:t>
      </w:r>
      <w:r>
        <w:rPr>
          <w:rFonts w:ascii="Arial" w:cs="Arial" w:eastAsia="Arial" w:hAnsi="Arial"/>
          <w:i/>
          <w:iCs/>
          <w:color w:val="1F1F1F"/>
          <w:sz w:val="21"/>
          <w:szCs w:val="21"/>
        </w:rPr>
        <w:t xml:space="preserve">Pursuing justice: authority that is given, and precisely therefore bounded and accountable.</w:t>
      </w:r>
    </w:p>
    <w:p>
      <w:pPr>
        <w:spacing w:after="120" w:line="276"/>
      </w:pPr>
      <w:r>
        <w:rPr>
          <w:rFonts w:ascii="Arial" w:cs="Arial" w:eastAsia="Arial" w:hAnsi="Arial"/>
          <w:i/>
          <w:iCs/>
          <w:color w:val="6A6A6A"/>
          <w:sz w:val="19"/>
          <w:szCs w:val="19"/>
        </w:rPr>
        <w:t xml:space="preserve">Horizon (not this week’s theme, but the ground): beneath all this lies the one question — received or grasped. Self-arrogated authority is the grasped form; received, testable authority the received form. This time the text pressed hardest on the Source–Coherence relation.</w:t>
      </w:r>
    </w:p>
    <w:sectPr>
      <w:footerReference w:type="default" r:id="rId7"/>
      <w:pgSz w:w="11906" w:h="16838" w:orient="portrait"/>
      <w:pgMar w:top="1300" w:right="1350" w:bottom="13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2026-08-12T03:24:01.075Z</dcterms:created>
  <dcterms:modified xsi:type="dcterms:W3CDTF">2026-08-12T03:24:01.143Z</dcterms:modified>
</cp:coreProperties>
</file>

<file path=docProps/custom.xml><?xml version="1.0" encoding="utf-8"?>
<Properties xmlns="http://schemas.openxmlformats.org/officeDocument/2006/custom-properties" xmlns:vt="http://schemas.openxmlformats.org/officeDocument/2006/docPropsVTypes"/>
</file>