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296" w:bottom="1440" w:left="1296" w:header="undefined" w:footer="undefined" w:gutter="undefined"/>
      <w:footerReference r:id="rId6" w:type="default"/>
    </w:sectPr>
    <w:p>
      <w:pPr>
        <w:spacing w:lineRule="auto"/>
      </w:pPr>
      <w:r>
        <w:rPr/>
        <w:t xml:space="preserve">     </w:t>
      </w:r>
    </w:p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Lezing Pinchas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Over de ijver van Pinechas, het verbond van vrede, de telling van het volk en de dochters van Tzelofchad.</w:t>
      </w:r>
    </w:p>
    <w:p>
      <w:pPr>
        <w:spacing w:lineRule="auto"/>
      </w:pPr>
      <w:r>
        <w:rPr/>
        <w:t xml:space="preserve">     De HEERE sprak tot Mozes: Pinechas, de zoon van Eleazar, de zoon van Aäron, de priester, heeft Mijn grimmigheid van de kinderen Israëls afgewend...  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4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Georgia"/>
        <a:ea typeface="Georgia"/>
        <a:cs typeface=""/>
      </a:majorFont>
      <a:minorFont>
        <a:latin typeface="Georgia"/>
        <a:ea typeface="Georgia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2026-08-12T04:36:03.031Z</dcterms:created>
  <dcterms:modified xsi:type="dcterms:W3CDTF">2026-08-12T04:36:03.031Z</dcterms:modified>
</cp:coreProperties>
</file>