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De God die gedenkt en roept</w:t>
      </w:r>
    </w:p>
    <w:p>
      <w:pPr>
        <w:spacing w:lineRule="auto"/>
      </w:pPr>
      <w:r>
        <w:rPr>
          <w:b/>
        </w:rPr>
        <w:t xml:space="preserve">Tora:</w:t>
      </w:r>
      <w:r>
        <w:rPr/>
        <w:t xml:space="preserve"> Genesis 21:1–34</w:t>
      </w:r>
    </w:p>
    <w:p>
      <w:pPr>
        <w:spacing w:lineRule="auto"/>
      </w:pPr>
      <w:r>
        <w:rPr/>
        <w:t xml:space="preserve">  ·  </w:t>
      </w:r>
    </w:p>
    <w:p>
      <w:pPr>
        <w:spacing w:lineRule="auto"/>
      </w:pPr>
      <w:r>
        <w:rPr>
          <w:b/>
        </w:rPr>
        <w:t xml:space="preserve">Haftara:</w:t>
      </w:r>
      <w:r>
        <w:rPr/>
        <w:t xml:space="preserve"> 1 Samuël 1:1–2:10</w:t>
      </w:r>
    </w:p>
    <w:p>
      <w:pPr>
        <w:spacing w:lineRule="auto"/>
      </w:pPr>
      <w:r>
        <w:rPr/>
        <w:t xml:space="preserve">  ·  </w:t>
      </w:r>
    </w:p>
    <w:p>
      <w:pPr>
        <w:spacing w:lineRule="auto"/>
      </w:pPr>
      <w:r>
        <w:rPr>
          <w:b/>
        </w:rPr>
        <w:t xml:space="preserve">Evangelie:</w:t>
      </w:r>
      <w:r>
        <w:rPr/>
        <w:t xml:space="preserve"> Mattheüs 24:29–36</w:t>
      </w:r>
    </w:p>
    <w:p>
      <w:pPr>
        <w:spacing w:lineRule="auto"/>
      </w:pPr>
      <w:r>
        <w:rPr/>
        <w:t xml:space="preserve">Op Jom Teruah gedenkt God: Hij bezoekt Sara (Gen. 21:1) en gedenkt Hanna (1 Sam. 1:19) — de klassieke grond waarom juist deze teksten de lezingen van de dag zijn. Het bazuingeschal roept wakker om te horen: wat wij ontvingen is ons toevertrouwd en draagt een roeping; teruggeven is de wakkere daad van wie weet van Wie het kwam.</w:t>
      </w:r>
    </w:p>
    <w:p>
      <w:pPr>
        <w:pStyle w:val="Heading2"/>
        <w:spacing w:lineRule="auto"/>
      </w:pPr>
      <w:r>
        <w:rPr/>
        <w:t xml:space="preserve">Een geluid dat onderbreekt</w:t>
      </w:r>
    </w:p>
    <w:p>
      <w:pPr>
        <w:spacing w:lineRule="auto"/>
      </w:pPr>
      <w:r>
        <w:rPr/>
        <w:t xml:space="preserve">Er is een dag in het jaar die niet begint met een uitleg, maar met een geluid. De Torah zegt er opvallend weinig over. In Leviticus 23 klinkt: een rustdag, een gedachtenis door bazuingeschal, een heilige samenkomst. In Numeri 29 opnieuw: een dag van bazuingeschal. Maar wát wij bij dat geluid precies moeten denken, legt de Torah niet uit. Er klinkt een teruah. Een geluid. Een oproep. Een signaal dat iets onderbreekt.</w:t>
      </w:r>
    </w:p>
    <w:p>
      <w:pPr>
        <w:spacing w:lineRule="auto"/>
      </w:pPr>
      <w:r>
        <w:rPr/>
        <w:t xml:space="preserve">En misschien past juist daarom deze lezing er zo goed bij. Want als we Genesis 21, 1 Samuël 1 en Mattheüs 24 naast elkaar leggen, zien we steeds mensen die leven tussen een woord dat God gesproken heeft en een werkelijkheid waarin dat woord nog niet zichtbaar is. Sarah heeft een belofte, maar jarenlang geen zoon. Hanna bidt en huilt terwijl haar schoot gesloten blijft. En Yeshua spreekt over een toekomst die nog niet voor onze ogen gekomen is: de Mensenzoon die verschijnt en Zijn uitverkorenen verzamelt bij het geluid van een grote bazuin. Steeds zit er tijd tussen spreken en vervulling. En juist daarin klinkt de vraag van deze dag: horen wij nog?</w:t>
      </w:r>
    </w:p>
    <w:p>
      <w:pPr>
        <w:pStyle w:val="Heading2"/>
        <w:spacing w:lineRule="auto"/>
      </w:pPr>
      <w:r>
        <w:rPr/>
        <w:t xml:space="preserve">De HEERE bezocht Sarah zoals Hij gezegd had</w:t>
      </w:r>
    </w:p>
    <w:p>
      <w:pPr>
        <w:spacing w:lineRule="auto"/>
      </w:pPr>
      <w:r>
        <w:rPr/>
        <w:t xml:space="preserve">Genesis 21 begint bijna eenvoudig:</w:t>
      </w:r>
    </w:p>
    <w:p>
      <w:pPr>
        <w:ind w:left="284"/>
        <w:jc w:val="both"/>
        <w:spacing w:lineRule="auto"/>
      </w:pPr>
      <w:r>
        <w:rPr/>
        <w:t xml:space="preserve">„De HEERE zag om naar Sara zoals Hij gezegd had, en de HEERE deed bij Sara zoals Hij gesproken had.” — Genesis 21:1</w:t>
      </w:r>
    </w:p>
    <w:p>
      <w:pPr>
        <w:spacing w:lineRule="auto"/>
      </w:pPr>
      <w:r>
        <w:rPr/>
        <w:t xml:space="preserve">Eigenlijk staat daar alles al. Zoals Hij gezegd had. Zoals Hij gesproken had. Izak begint niet bij Abraham en Sarah — hij begint bij Gods Woord. Er was een belofte vóór er een zoon was; een spreken vóór er iets zichtbaar werd. En als die zoon geboren wordt, is dat niet omdat twee oude mensen alsnog een menselijke mogelijkheid gevonden hebben. Die mogelijkheid was er niet meer. Het lichaam zelf getuigde tegen de belofte. En tóch: God deed zoals Hij gesproken had. Daarmee wordt Izak zelf bijna een zichtbaar getuigenis van Gods trouw. Iedere keer dat Sarah naar haar zoon kijkt, kijkt zij naar iets wat onmogelijk leek en toch werkelijk werd, omdat God Zijn Woord niet vergeten was.</w:t>
      </w:r>
    </w:p>
    <w:p>
      <w:pPr>
        <w:spacing w:lineRule="auto"/>
      </w:pPr>
      <w:r>
        <w:rPr/>
        <w:t xml:space="preserve">Daarom heet hij Izak — lachen. Sarah zegt: „God heeft mij doen lachen; ieder die het hóórt, zal met mij meelachen.” En dat is mooi, want dat lachen had eerder een andere klank. Sarah lachte toen zij hóórde dat zij nog een zoon zou krijgen — een lachen waarin ongeloof doorklonk: kan dit werkelijk nog? Maar bij Izaks geboorte verandert het lachen. Hetzelfde terrein waar eerst ongeloof zat, wordt een plaats van vreugde. God veroordeelt haar niet tot haar eerste reactie; Hij brengt haar bij de vervulling. Dat zegt iets over genade.</w:t>
      </w:r>
    </w:p>
    <w:p>
      <w:pPr>
        <w:pStyle w:val="Heading2"/>
        <w:spacing w:lineRule="auto"/>
      </w:pPr>
      <w:r>
        <w:rPr/>
        <w:t xml:space="preserve">Het uitstel maakte het Woord niet minder waar</w:t>
      </w:r>
    </w:p>
    <w:p>
      <w:pPr>
        <w:spacing w:lineRule="auto"/>
      </w:pPr>
      <w:r>
        <w:rPr/>
        <w:t xml:space="preserve">Wij hebben moeite met tijd. Als God iets vandaag zegt, willen wij morgen de vervulling zien. En blijft die uit, dan gaan we na verloop van tijd denken dat we het verkeerd begrepen hebben, of dat het Woord niet meer geldt, of dat wij zelf iets moeten regelen. Ismaël kan in die geschiedenis voor óns zichtbaar maken hoe gemakkelijk wij een door God gegeven belofte zelf proberen voort te brengen. En dat is misschien wel de moeilijkste vorm van ongeloof om te herkennen. Niet zeggen: God kan het niet. Maar: God heeft blijkbaar míjn hulp nodig om Zijn Woord waar te maken. Wij geloven de belofte nog, maar grijpen het proces.</w:t>
      </w:r>
    </w:p>
    <w:p>
      <w:pPr>
        <w:spacing w:lineRule="auto"/>
      </w:pPr>
      <w:r>
        <w:rPr/>
        <w:t xml:space="preserve">En Genesis laat zien dat Gods weg anders loopt: Hij wacht tot zelfs de menselijke mogelijkheid wegvalt, en dan gebeurt wat Hij gesproken heeft. Dat maakt Abraham en Sarah niet passief — Abraham besnijdt Izak zoals God bevolen had; er ís gehoorzaamheid. Maar de bron van het leven ligt niet in hun prestatie. Het leven wordt gegeven.</w:t>
      </w:r>
    </w:p>
    <w:p>
      <w:pPr>
        <w:pStyle w:val="Heading2"/>
        <w:spacing w:lineRule="auto"/>
      </w:pPr>
      <w:r>
        <w:rPr/>
        <w:t xml:space="preserve">Een kind ontvangen is iets anders dan een kind bezitten</w:t>
      </w:r>
    </w:p>
    <w:p>
      <w:pPr>
        <w:spacing w:lineRule="auto"/>
      </w:pPr>
      <w:r>
        <w:rPr/>
        <w:t xml:space="preserve">Toen ik daarna 1 Samuël 1 las, kwam dat dichtbij. Hanna heeft geen kind; de tekst zegt zelfs nadrukkelijk dat de HEERE haar schoot gesloten had. Daar moeten we niet overheen lezen. Wij kennen het einde; Hanna nog niet. Wij lezen een paar hoofdstukken in minuten; zij leeft er jaren in. Jaar na jaar naar Silo. Jaar na jaar Peninna met haar kinderen. Jaar na jaar geprikt op de kwetsbare plek. En uiteindelijk staat zij voor Gods aangezicht en bidt — niet netjes op afstand, maar huilend, haar hart uitstortend. Eli begrijpt haar zelfs verkeerd; de één die haar zou moeten horen, hóórt haar niet. Maar God hoort. En als Samuel geboren wordt, staat er: „De HEERE dacht aan haar.” Opnieuw dat patroon: God gedenkt, God handelt.</w:t>
      </w:r>
    </w:p>
    <w:p>
      <w:pPr>
        <w:spacing w:lineRule="auto"/>
      </w:pPr>
      <w:r>
        <w:rPr/>
        <w:t xml:space="preserve">En bij het lezen hiervan moest ik aan mijn eigen kinderen denken. Ik heb eerder verteld dat ik als vader soms terugkijk en denk: sommige dingen had ik anders willen doen. Niet omdat ik teleurgesteld ben in mijn kinderen, maar omdat ik mijn eigen verantwoordelijkheid anders ben gaan zien. Ik heb soms vooral gekeken naar gedrag dat gecorrigeerd moest worden, terwijl ik steeds meer ben gaan begrijpen dat mijn taak dieper ligt: mijn kinderen tot discipel maken, met hen het Woord openen, hen niet alleen vertellen wat mag en niet mag, maar hen leren om zélf voor Gods aangezicht te leven en verantwoordelijkheid te dragen.</w:t>
      </w:r>
    </w:p>
    <w:p>
      <w:pPr>
        <w:spacing w:lineRule="auto"/>
      </w:pPr>
      <w:r>
        <w:rPr/>
        <w:t xml:space="preserve">En dan lees ik over Hanna. Zij heeft jaren om dit kind gebeden; Samuel moet kostbaarder voor haar geweest zijn dan wij ons makkelijk voorstellen. Maar als zij hem ontvangen heeft, grijpt zij hem niet vast alsof hij nu eíndelijk van haar is. Zij brengt hem naar het huis van de HEERE en zegt: „Om deze jongen heb ik gebeden, en de HEERE heeft mij gegeven wat ik van Hem gebeden heb. Daarom heb ik hem ook aan de HEERE gegeven.” Dat raakt mij als vader. Want onze kinderen zijn werkelijk onze kinderen — wij mogen hen liefhebben, beschermen, opvoeden. Máár uiteindelijk hebben wij hen niet gemaakt, en hun hart kunnen wij niet maken. Zij zijn ons toevertrouwd. Daarom is opvoeden niet hetzelfde als beheersen. Ik kan mijn kinderen het Woord laten horen, laten zien hoe ik probeer te leven, corrigeren, bidden, tot discipel maken. Maar het leven dat alleen God kan geven, kan ik niet zelf voortbrengen.</w:t>
      </w:r>
    </w:p>
    <w:p>
      <w:pPr>
        <w:spacing w:lineRule="auto"/>
      </w:pPr>
      <w:r>
        <w:rPr/>
        <w:t xml:space="preserve">En Hanna lijkt dat te begrijpen: wat zij ontvangen heeft, geeft zij terug aan de Gever. En vergis je niet — dit is geen vermoeide overgave, geen zacht loslaten. Deze vrouw heeft eerst een gelófte gedaan, haar ziel uitgestort, gebeden tot men haar voor dronken hield. Teruggeven is bij Hanna de laatste, wákkere daad van wie wéét van Wie het kind kwam.</w:t>
      </w:r>
    </w:p>
    <w:p>
      <w:pPr>
        <w:pStyle w:val="Heading2"/>
        <w:spacing w:lineRule="auto"/>
      </w:pPr>
      <w:r>
        <w:rPr/>
        <w:t xml:space="preserve">Samuel — gevraagd en gehoord</w:t>
      </w:r>
    </w:p>
    <w:p>
      <w:pPr>
        <w:spacing w:lineRule="auto"/>
      </w:pPr>
      <w:r>
        <w:rPr/>
        <w:t xml:space="preserve">Zelfs zijn naam wordt met haar gebed verbonden: „Ik heb hem van de HEERE gebeden.” Heel zijn bestaan herinnert haar eraan dat God gehoord heeft. En dat past bij deze dag. Teruah gaat over geluid — en in 1 Samuël zien we aan de andere kant een God die luistert. Wij roepen; Hij hoort. Maar later wordt Samuel juist degene die moet leren luisteren als God roept. In hoofdstuk 3 klinkt zijn naam — Samuel, Samuel — en Eli leert hem antwoorden: „Spreek, HEERE, want Uw dienaar luistert.” Dat ligt net buiten onze haftara, maar het groeit er rechtstreeks uit. Een moeder roept tot God. God hoort. God schenkt een zoon. En die zoon wordt iemand die zélf leert horen. Ontvangen wordt luisteren. Luisteren wordt dienen. En zo gaat Gods Woord verder.</w:t>
      </w:r>
    </w:p>
    <w:p>
      <w:pPr>
        <w:pStyle w:val="Heading2"/>
        <w:spacing w:lineRule="auto"/>
      </w:pPr>
      <w:r>
        <w:rPr/>
        <w:t xml:space="preserve">Hanna’s lied wordt groter dan haar verhaal</w:t>
      </w:r>
    </w:p>
    <w:p>
      <w:pPr>
        <w:spacing w:lineRule="auto"/>
      </w:pPr>
      <w:r>
        <w:rPr/>
        <w:t xml:space="preserve">In hoofdstuk 2 zingt Hanna, en haar lied is opmerkelijk. Het begint bij haar eigen vreugde: „Mijn hart springt op van vreugde in de HEERE.” Maar het blijft niet bij: ik wilde een kind en nu heb ik er een. Haar blik wordt steeds wijder — de heiligheid van God, de hoogmoed die valt, machtigen die vernederd worden en zwakken die kracht ontvangen, verzadigden die zich voor brood verhuren en hongerigen die niet meer hongeren. En dan: „De onvruchtbare heeft er zeven gebaard, maar zij die veel kinderen had, is verkommerd.” Wat God in háár leven deed, opent haar ogen voor hóe God handelt: Hij keert menselijke verhoudingen om. Dit is geen zoet danklied; het is fel, een lied van omkering.</w:t>
      </w:r>
    </w:p>
    <w:p>
      <w:pPr>
        <w:spacing w:lineRule="auto"/>
      </w:pPr>
      <w:r>
        <w:rPr/>
        <w:t xml:space="preserve">En aan het einde wordt het zelfs koninklijk: „Hij zal Zijn koning kracht geven en de hoorn van Zijn gezalfde verheffen.” Opmerkelijk, want Israël heeft dan nog geen koning. Hanna kijkt verder dan Samuel. Haar persoonlijke verhoring wordt onderdeel van een veel groter verhaal. En dat is een belangrijke beweging: God kan iets heel persoonlijks doen zonder dat het uiteindelijk alleen om ons gaat. Izak is niet alleen het kind dat Sarah krijgt — door hem gaat de belofte verder. Samuel is niet alleen het kind dat Hanna krijgt — hij wordt beslissend in de weg naar het koningschap. Wat God schenkt, draagt een roeping.</w:t>
      </w:r>
    </w:p>
    <w:p>
      <w:pPr>
        <w:pStyle w:val="Heading2"/>
        <w:spacing w:lineRule="auto"/>
      </w:pPr>
      <w:r>
        <w:rPr/>
        <w:t xml:space="preserve">Jom Teruah — wakker worden om te horen</w:t>
      </w:r>
    </w:p>
    <w:p>
      <w:pPr>
        <w:spacing w:lineRule="auto"/>
      </w:pPr>
      <w:r>
        <w:rPr/>
        <w:t xml:space="preserve">En dan terug bij deze dag. De Torah geeft geen uitleg, maar zegt: „een gedachtenis door bazuingeschal.” Het geluid onderbreekt de gewone gang. Dat is wat een bazuin doet. Praat je met elkaar en klinkt ineens krachtig de sjofar, dan kun je niet doen alsof er niets gebeurt. Je hóórt hem. En misschien is dat de eerste beweging van deze dag: niet meteen alles begrijpen, maar wakker worden. Luister. Waar zijn wij zó gewend geraakt aan de gewone gang dat wij niet meer werkelijk horen? We staan op, we werken, we regelen onze zaken, we zorgen voor ons gezin, we lezen misschien elke dag de Bijbel — maar luisteren we nog? Of kennen we de woorden inmiddels zo goed dat ze langs ons heen gaan?</w:t>
      </w:r>
    </w:p>
    <w:p>
      <w:pPr>
        <w:spacing w:lineRule="auto"/>
      </w:pPr>
      <w:r>
        <w:rPr/>
        <w:t xml:space="preserve">Teruah onderbreekt. Het geluid zegt: let op. En het is geen zacht signaal — een bazuin is ook alarm, ook strijdkreet, ook kroningsgeschal. Het wekt je niet om je gerust te stellen; het wekt je om te horen en op te staan.</w:t>
      </w:r>
    </w:p>
    <w:p>
      <w:pPr>
        <w:pStyle w:val="Heading2"/>
        <w:spacing w:lineRule="auto"/>
      </w:pPr>
      <w:r>
        <w:rPr/>
        <w:t xml:space="preserve">Eerst hoort Hij</w:t>
      </w:r>
    </w:p>
    <w:p>
      <w:pPr>
        <w:spacing w:lineRule="auto"/>
      </w:pPr>
      <w:r>
        <w:rPr/>
        <w:t xml:space="preserve">En voordat dit een opdracht wordt — word wakker, luister beter, doe meer — moeten we goed zien wat er in deze lezingen als eerste gebeurt. Want het hoor-motief loopt naar twee kanten. Sarah zegt: „al die het hóórt zal met mij lachen.” God hóórt de stem van de jongen in de woestijn. Hanna beweegt haar lippen, Eli hoort haar niet, maar God hóórt. En de zoon die zij ontvangt, Samuel, wordt juist degene die later moet leren antwoorden: „Spreek, HEERE, want Uw dienaar luistert.” Zie je de volgorde? Jom Teruah vraagt niet alleen of wíj God horen. De lezingen beginnen met een God die óns hoort. Daarom wordt onze respons geen krampachtig presteren, maar antwoord: Hij hoort en gedenkt het eerst, en dáárom kunnen wij horen en antwoorden.</w:t>
      </w:r>
    </w:p>
    <w:p>
      <w:pPr>
        <w:pStyle w:val="Heading2"/>
        <w:spacing w:lineRule="auto"/>
      </w:pPr>
      <w:r>
        <w:rPr/>
        <w:t xml:space="preserve">God gedenkt</w:t>
      </w:r>
    </w:p>
    <w:p>
      <w:pPr>
        <w:spacing w:lineRule="auto"/>
      </w:pPr>
      <w:r>
        <w:rPr/>
        <w:t xml:space="preserve">In de Joodse traditie worden rond deze dag het koningschap van God, het gedenken en het bazuingeschal sterk verbonden. Die verbinding zien we ook in de rabbijnse leestraditie, waarin Sara en Hanna juist rond deze dag met Gods gedenken worden verbonden — in beide teksten staat immers dat de HEERE „bezocht” en „gedacht”. Bijbels gedenken is geen herinnering die opkomt nadat je iets vergeten was, zoals wij onze sleutels vergeten. Het is veel actiever: God brengt Zijn trouw in beweging, Hij handelt naar Zijn verbond en Zijn woord. Dat geeft deze dag een andere kleur. Wanneer wij gedenken wie God is, doen wij dat tegenover een God die Zélf Zijn beloften gedenkt. Ons geloof rust uiteindelijk niet op óns vermogen om alles perfect te onthouden. Hij is trouw. Dat is de grond.</w:t>
      </w:r>
    </w:p>
    <w:p>
      <w:pPr>
        <w:spacing w:lineRule="auto"/>
      </w:pPr>
      <w:r>
        <w:rPr/>
        <w:t xml:space="preserve">En dáár raakt deze dag ieder van ons. De bazuin roept ons opnieuw voor Gods aangezicht met een paar scherpe vragen. Wat heb ik eigenlijk ontvangen? Wat heeft God mij toevertrouwd — dit kind, dit werk, deze jaren, dit lichaam? En houd ik dat krampachtig vast, alsof ik het gemaakt heb en het verliezen zal — of leg ik het open onder Zijn roeping? Horen is precies dit: erkennen dat ik het ontving, en het niet vastklem maar toevertrouw aan Hem van Wie het kwam.</w:t>
      </w:r>
    </w:p>
    <w:p>
      <w:pPr>
        <w:pStyle w:val="Heading2"/>
        <w:spacing w:lineRule="auto"/>
      </w:pPr>
      <w:r>
        <w:rPr/>
        <w:t xml:space="preserve">De bazuin van Mattheüs 24</w:t>
      </w:r>
    </w:p>
    <w:p>
      <w:pPr>
        <w:spacing w:lineRule="auto"/>
      </w:pPr>
      <w:r>
        <w:rPr/>
        <w:t xml:space="preserve">En dan Mattheüs 24. Yeshua spreekt over de komst van de Mensenzoon. De zon wordt verduisterd, de maan geeft haar licht niet, de sterren vallen, de machten van de hemelen worden bewogen. En dan: „Dan zal het teken van de Zoon des mensen verschijnen aan de hemel… en Hij zal Zijn engelen uitzenden onder luid bazuingeschal, en zij zullen Zijn uitverkorenen bijeenbrengen uit de vier windstreken.” Het geklank van deze dag doet ons, als belijdende horizon, denken aan díe grote bazuin waarbij de Mensenzoon Zijn uitverkorenen verzamelt. Want God die Sarah bezocht en Hanna gedacht heeft, is dezelfde die aan het einde Zijn eigen kinderen bijeenroept; geen naam vergeten, niemand ongehoord.</w:t>
      </w:r>
    </w:p>
    <w:p>
      <w:pPr>
        <w:spacing w:lineRule="auto"/>
      </w:pPr>
      <w:r>
        <w:rPr/>
        <w:t xml:space="preserve">En let op waar Yeshua eindigt: „Maar die dag en dat uur is aan niemand bekend, ook aan de engelen van de hemel niet, dan aan Mijn Vader alleen.” Ook het úúr ligt niet in onze hand. Ik kan het hart van mijn kind niet maken, en ik kan het uur niet weten — en juist dát maakt wakker: niet angstig, maar wakker. Het is de Vader die gedenkt, die hoort, die het uur kent. Waak dan — niet krampachtig, maar met open handen.</w:t>
      </w:r>
    </w:p>
    <w:p>
      <w:pPr>
        <w:pStyle w:val="Heading2"/>
        <w:spacing w:lineRule="auto"/>
      </w:pPr>
      <w:r>
        <w:rPr/>
        <w:t xml:space="preserve">Slot</w:t>
      </w:r>
    </w:p>
    <w:p>
      <w:pPr>
        <w:spacing w:lineRule="auto"/>
      </w:pPr>
      <w:r>
        <w:rPr/>
        <w:t xml:space="preserve">Zo begint deze dag met een geluid, en niet met een prestatie. De bazuin roept ons wakker om opnieuw te horen wie deze God is: de God die Sarah bezocht, Hanna gedacht heeft en Zijn beloften niet vergeet. Daarom mogen ook wij ons leven opnieuw voor Zijn aangezicht leggen. Wat je liefhebt, heb je niet gemaakt; wat je draagt, is je toevertrouwd — ontvang het als gave, en durf het terug te leggen in de handen van Degene die hoort en gedenkt. Hij hoort en gedenkt het eerst. Daarom mogen wij antwoorden.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