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In je mond, in je hart, in je handen</w:t>
      </w:r>
    </w:p>
    <w:p>
      <w:pPr>
        <w:spacing w:lineRule="auto"/>
      </w:pPr>
      <w:r>
        <w:rPr>
          <w:b/>
        </w:rPr>
        <w:t xml:space="preserve">Tora:</w:t>
      </w:r>
      <w:r>
        <w:rPr/>
        <w:t xml:space="preserve"> Deuteronomium 29:10–31:30</w:t>
      </w:r>
    </w:p>
    <w:p>
      <w:pPr>
        <w:spacing w:lineRule="auto"/>
      </w:pPr>
      <w:r>
        <w:rPr/>
        <w:t xml:space="preserve">  ·  </w:t>
      </w:r>
    </w:p>
    <w:p>
      <w:pPr>
        <w:spacing w:lineRule="auto"/>
      </w:pPr>
      <w:r>
        <w:rPr>
          <w:b/>
        </w:rPr>
        <w:t xml:space="preserve">Haftara:</w:t>
      </w:r>
      <w:r>
        <w:rPr/>
        <w:t xml:space="preserve"> Jesaja 61:10-63:9</w:t>
      </w:r>
    </w:p>
    <w:p>
      <w:pPr>
        <w:spacing w:lineRule="auto"/>
      </w:pPr>
      <w:r>
        <w:rPr/>
        <w:t xml:space="preserve">  ·  </w:t>
      </w:r>
    </w:p>
    <w:p>
      <w:pPr>
        <w:spacing w:lineRule="auto"/>
      </w:pPr>
      <w:r>
        <w:rPr>
          <w:b/>
        </w:rPr>
        <w:t xml:space="preserve">Evangelie:</w:t>
      </w:r>
      <w:r>
        <w:rPr/>
        <w:t xml:space="preserve"> Johannes 12:41-50</w:t>
      </w:r>
    </w:p>
    <w:p>
      <w:pPr>
        <w:spacing w:lineRule="auto"/>
      </w:pPr>
      <w:r>
        <w:rPr/>
        <w:t xml:space="preserve">In Nitzavim/Vayelech is het woord niet in de hemel maar zéér nabij — in je mond, in je hart, in je handen, om het te dóen; God besnijdt eerst het hart (30:6), en wat je ontving geef je door, van Mozes op Jozua, van geslacht op geslacht.</w:t>
      </w:r>
    </w:p>
    <w:p>
      <w:pPr>
        <w:pStyle w:val="Heading2"/>
        <w:spacing w:lineRule="auto"/>
      </w:pPr>
      <w:r>
        <w:rPr/>
        <w:t xml:space="preserve">Een lapje vlees</w:t>
      </w:r>
    </w:p>
    <w:p>
      <w:pPr>
        <w:spacing w:lineRule="auto"/>
      </w:pPr>
      <w:r>
        <w:rPr/>
        <w:t xml:space="preserve">Een paar jaar geleden stond ik op een barbecue, tijdens een rondvaart, in gesprek met iemand uit een evangelische gemeente. „Joh,” zei hij, „wil je een lapje vlees?”</w:t>
      </w:r>
    </w:p>
    <w:p>
      <w:pPr>
        <w:spacing w:lineRule="auto"/>
      </w:pPr>
      <w:r>
        <w:rPr/>
        <w:t xml:space="preserve">Nu is mijn voorkeur om geen varkensvlees te eten. Niet uit een gril, maar omdat ik in de Schrift gelezen heb dat het voor de HEERE een gruwel is — dat juist de goddelozen, de mensen die zonder God leven, varkensvlees in hun potten kookten. God heeft verteld welk voedsel Hij gezegend en rein geschapen heeft, en daar hoort het varkensvlees niet bij.</w:t>
      </w:r>
    </w:p>
    <w:p>
      <w:pPr>
        <w:spacing w:lineRule="auto"/>
      </w:pPr>
      <w:r>
        <w:rPr/>
        <w:t xml:space="preserve">Maar voor mijn evangelische broeder was dat vreemd. Als ik geen varkensvlees at, zei hij, dan was ik wettisch. En om niet wettisch te zijn, moest ik het eigenlijk juist wél eten.</w:t>
      </w:r>
    </w:p>
    <w:p>
      <w:pPr>
        <w:spacing w:lineRule="auto"/>
      </w:pPr>
      <w:r>
        <w:rPr/>
        <w:t xml:space="preserve">Laat dat even bezinken. Ik moest iets doen waarvan mijn geweten — en niet alleen mijn geweten, maar Gods eigen Woord — zegt dat God er een hekel aan heeft. En dat moest ik doen om te bewíjzen dat ik vrij was.</w:t>
      </w:r>
    </w:p>
    <w:p>
      <w:pPr>
        <w:spacing w:lineRule="auto"/>
      </w:pPr>
      <w:r>
        <w:rPr/>
        <w:t xml:space="preserve">Ziet u de omkering? In naam van de vrijheid werd mij opnieuw een wet opgelegd. Het woord van God was ergens ver weg geraakt — een last, een merkteken, iets waarmee de een de ander de maat neemt. En precies dáár zet onze parasja iets tegenover.</w:t>
      </w:r>
    </w:p>
    <w:p>
      <w:pPr>
        <w:pStyle w:val="Heading2"/>
        <w:spacing w:lineRule="auto"/>
      </w:pPr>
      <w:r>
        <w:rPr/>
        <w:t xml:space="preserve">Niet in de hemel — op het aanrecht</w:t>
      </w:r>
    </w:p>
    <w:p>
      <w:pPr>
        <w:spacing w:lineRule="auto"/>
      </w:pPr>
      <w:r>
        <w:rPr/>
        <w:t xml:space="preserve">Want luister wat Mozes zegt, aan het einde van zijn leven, tegen heel het volk:</w:t>
      </w:r>
    </w:p>
    <w:p>
      <w:pPr>
        <w:ind w:left="284"/>
        <w:jc w:val="both"/>
        <w:spacing w:lineRule="auto"/>
      </w:pPr>
      <w:r>
        <w:rPr/>
        <w:t xml:space="preserve">„Want ditzelve gebod is van u niet verborgen, en dat is niet verre. Het is niet in den hemel… Ook is het niet op gene zijde der zee… Want dit woord is zeer nabij u, in uw mond, en in uw hart, om dat te doen.” — Deuteronomium 30:11-14</w:t>
      </w:r>
    </w:p>
    <w:p>
      <w:pPr>
        <w:spacing w:lineRule="auto"/>
      </w:pPr>
      <w:r>
        <w:rPr/>
        <w:t xml:space="preserve">Niet in de hemel. Niet over de zee. Niet op de bovenste plank, waar je een trap voor moet halen, of iemand moet vragen, of maar net niet bij kunt. Nee — het ligt al vóór je. Op het aanrecht. In je mond, in je hart. En in sommige oude tekstgetuigen klinkt het nóg concreter: én in uw handen.</w:t>
      </w:r>
    </w:p>
    <w:p>
      <w:pPr>
        <w:spacing w:lineRule="auto"/>
      </w:pPr>
      <w:r>
        <w:rPr/>
        <w:t xml:space="preserve">In je hánden. Om het te dóen.</w:t>
      </w:r>
    </w:p>
    <w:p>
      <w:pPr>
        <w:spacing w:lineRule="auto"/>
      </w:pPr>
      <w:r>
        <w:rPr/>
        <w:t xml:space="preserve">Want dat is waar het woord voor gegeven is. Driemaal klinkt het in deze paar verzen: om het te doen, om het te doen, om het te doen. Het woord is niet nabij gebracht zodat wij het kunnen bestuderen en op een plank leggen. Het is nabij gebracht om gedáán te worden.</w:t>
      </w:r>
    </w:p>
    <w:p>
      <w:pPr>
        <w:spacing w:lineRule="auto"/>
      </w:pPr>
      <w:r>
        <w:rPr/>
        <w:t xml:space="preserve">En dat is precies het tegenovergestelde van wat er op die barbecue gebeurde. Daar werd het woord ver weg gemaakt — een discussie, een verwijt, een juk. Hier zegt God: het is niet ver. Het ligt in je hand.</w:t>
      </w:r>
    </w:p>
    <w:p>
      <w:pPr>
        <w:pStyle w:val="Heading2"/>
        <w:spacing w:lineRule="auto"/>
      </w:pPr>
      <w:r>
        <w:rPr/>
        <w:t xml:space="preserve">Een besneden hart</w:t>
      </w:r>
    </w:p>
    <w:p>
      <w:pPr>
        <w:spacing w:lineRule="auto"/>
      </w:pPr>
      <w:r>
        <w:rPr/>
        <w:t xml:space="preserve">Máár — en nu moeten we oppassen — wij kunnen dit „doen” meteen weer tot een krachttoer maken. Alsof God zegt: hier is de lat, klim er nu zelf overheen.</w:t>
      </w:r>
    </w:p>
    <w:p>
      <w:pPr>
        <w:spacing w:lineRule="auto"/>
      </w:pPr>
      <w:r>
        <w:rPr/>
        <w:t xml:space="preserve">Dat zegt Hij niet. Kijk wat er een paar verzen eerder staat:</w:t>
      </w:r>
    </w:p>
    <w:p>
      <w:pPr>
        <w:ind w:left="284"/>
        <w:jc w:val="both"/>
        <w:spacing w:lineRule="auto"/>
      </w:pPr>
      <w:r>
        <w:rPr/>
        <w:t xml:space="preserve">„En de HEERE, uw God, zal uw hart besnijden… om den HEERE, uw God, lief te hebben met uw ganse hart.” — Deuteronomium 30:6</w:t>
      </w:r>
    </w:p>
    <w:p>
      <w:pPr>
        <w:spacing w:lineRule="auto"/>
      </w:pPr>
      <w:r>
        <w:rPr/>
        <w:t xml:space="preserve">Híj besnijdt. God maakt het hart eerst vrij. Het harde omhulsel eraf, zodat er weer liefde in kan. En pás daarna, op die grond, komt het „doen” binnen bereik.</w:t>
      </w:r>
    </w:p>
    <w:p>
      <w:pPr>
        <w:spacing w:lineRule="auto"/>
      </w:pPr>
      <w:r>
        <w:rPr/>
        <w:t xml:space="preserve">Ziet u de volgorde? Het is niet: doe genoeg, dan zal God je hart openen. Het is andersom. God opent het hart — en dáárom is het gebod niet meer te zwaar en niet meer ver. Het doen is geen zelfredzaamheid. Het is antwoord, mogelijk gemaakt door een hart dat Híj heeft vrijgemaakt.</w:t>
      </w:r>
    </w:p>
    <w:p>
      <w:pPr>
        <w:spacing w:lineRule="auto"/>
      </w:pPr>
      <w:r>
        <w:rPr/>
        <w:t xml:space="preserve">De genade is dus niet dat het gebod wordt afgeschaft. De genade is dat het bereikbaar is gemaakt.</w:t>
      </w:r>
    </w:p>
    <w:p>
      <w:pPr>
        <w:pStyle w:val="Heading2"/>
        <w:spacing w:lineRule="auto"/>
      </w:pPr>
      <w:r>
        <w:rPr/>
        <w:t xml:space="preserve">Ontvangen of grijpen — aan beide kanten</w:t>
      </w:r>
    </w:p>
    <w:p>
      <w:pPr>
        <w:spacing w:lineRule="auto"/>
      </w:pPr>
      <w:r>
        <w:rPr/>
        <w:t xml:space="preserve">En nu terug naar dat lapje vlees. Want als ik eerlijk ben, snijdt het mes naar twee kanten.</w:t>
      </w:r>
    </w:p>
    <w:p>
      <w:pPr>
        <w:spacing w:lineRule="auto"/>
      </w:pPr>
      <w:r>
        <w:rPr/>
        <w:t xml:space="preserve">Mijn broeder legde mij een juk op: je móét eten om vrij te zijn. Dat is grijpen — de vrijheid tot een nieuwe wet maken. Máár mijn onthouding kan net zo goed grijpen worden. Op het moment dat ik mijn bordje gebruik om mijzelf bóven hem te stellen — kijk mij eens, ik ben trouwer — is er iets misgegaan in mijn hart, ook al ligt er niets verkeerds op mijn bord.</w:t>
      </w:r>
    </w:p>
    <w:p>
      <w:pPr>
        <w:spacing w:lineRule="auto"/>
      </w:pPr>
      <w:r>
        <w:rPr/>
        <w:t xml:space="preserve">Want luister naar de wortel waar deze parasja voor waarschuwt: de mens „die zichzelven zegene in zijn hart” (Deuteronomium 29:18) — die in het verborgene zichzelf gelijk geeft en tóch zijn eigen weg gaat. Het gevaar zit niet op het bord. Het zit in het hart dat zichzelf heimelijk zegent.</w:t>
      </w:r>
    </w:p>
    <w:p>
      <w:pPr>
        <w:spacing w:lineRule="auto"/>
      </w:pPr>
      <w:r>
        <w:rPr/>
        <w:t xml:space="preserve">Paulus heeft dit precies gezien. Hij dwingt niemand:</w:t>
      </w:r>
    </w:p>
    <w:p>
      <w:pPr>
        <w:ind w:left="284"/>
        <w:jc w:val="both"/>
        <w:spacing w:lineRule="auto"/>
      </w:pPr>
      <w:r>
        <w:rPr/>
        <w:t xml:space="preserve">„Die daar eet, verachte hem niet, die niet eet; en die niet eet, oordele hem niet die daar eet… Een iegelijk zij in zijn eigen gemoed ten volle verzekerd.” — Romeinen 14:3,5</w:t>
      </w:r>
    </w:p>
    <w:p>
      <w:pPr>
        <w:spacing w:lineRule="auto"/>
      </w:pPr>
      <w:r>
        <w:rPr/>
        <w:t xml:space="preserve">Ziet u hoe eerlijk dat is? Paulus veroordeelt niet het eten en niet het niet-eten. Hij veroordeelt het ópleggen — aan bééde kanten. Want het gaat niet om het vlees. Het gaat om de richting van het hart: ontvang ik, en antwoord ik God in mijn geweten — of grijp ik, en stel ik mijzelf veilig ten koste van mijn broeder?</w:t>
      </w:r>
    </w:p>
    <w:p>
      <w:pPr>
        <w:pStyle w:val="Heading2"/>
        <w:spacing w:lineRule="auto"/>
      </w:pPr>
      <w:r>
        <w:rPr/>
        <w:t xml:space="preserve">Kies het leven</w:t>
      </w:r>
    </w:p>
    <w:p>
      <w:pPr>
        <w:spacing w:lineRule="auto"/>
      </w:pPr>
      <w:r>
        <w:rPr/>
        <w:t xml:space="preserve">En dan legt Mozes het bij ons neer. Niet als dreigement, maar als een open hand:</w:t>
      </w:r>
    </w:p>
    <w:p>
      <w:pPr>
        <w:ind w:left="284"/>
        <w:jc w:val="both"/>
        <w:spacing w:lineRule="auto"/>
      </w:pPr>
      <w:r>
        <w:rPr/>
        <w:t xml:space="preserve">„Het leven en den dood heb ik u voorgesteld, den zegen en den vloek! Kies dan het leven, opdat gij levet, gij en uw zaad.” — Deuteronomium 30:19</w:t>
      </w:r>
    </w:p>
    <w:p>
      <w:pPr>
        <w:spacing w:lineRule="auto"/>
      </w:pPr>
      <w:r>
        <w:rPr/>
        <w:t xml:space="preserve">Kies. Het woord ligt in je hand — dus kies. God roept hemel en aarde tot getuigen, en dan legt Hij de keuze werkelijk bij de mens. Niet omdat wij het uit onszelf kunnen, maar omdat Híj het bereikbaar heeft gemaakt. De gave gaat voorop; het kiezen is antwoord.</w:t>
      </w:r>
    </w:p>
    <w:p>
      <w:pPr>
        <w:pStyle w:val="Heading2"/>
        <w:spacing w:lineRule="auto"/>
      </w:pPr>
      <w:r>
        <w:rPr/>
        <w:t xml:space="preserve">In de hand van je kind</w:t>
      </w:r>
    </w:p>
    <w:p>
      <w:pPr>
        <w:spacing w:lineRule="auto"/>
      </w:pPr>
      <w:r>
        <w:rPr/>
        <w:t xml:space="preserve">En dat woord in je hand is niet voor jou alleen. Kijk wat er in Vayelech gebeurt.</w:t>
      </w:r>
    </w:p>
    <w:p>
      <w:pPr>
        <w:spacing w:lineRule="auto"/>
      </w:pPr>
      <w:r>
        <w:rPr/>
        <w:t xml:space="preserve">Mozes is honderdtwintig jaar. Hij gaat sterven. En het laatste wat hij doet, is het woord doorgeven. Hij legt het in de hand van Jozua: „Wees sterk en heb goeden moed” (Deuteronomium 31:7). En hij beveelt dat de Tora elke zeven jaar hardop wordt voorgelezen — voor de mannen, de vrouwen, de kínderen, en de vreemdeling die binnen je poorten is:</w:t>
      </w:r>
    </w:p>
    <w:p>
      <w:pPr>
        <w:ind w:left="284"/>
        <w:jc w:val="both"/>
        <w:spacing w:lineRule="auto"/>
      </w:pPr>
      <w:r>
        <w:rPr/>
        <w:t xml:space="preserve">„…opdat zij horen, en opdat zij leren… en waarnemen te doen alle woorden dezer wet.” — Deuteronomium 31:12</w:t>
      </w:r>
    </w:p>
    <w:p>
      <w:pPr>
        <w:spacing w:lineRule="auto"/>
      </w:pPr>
      <w:r>
        <w:rPr/>
        <w:t xml:space="preserve">Horen, leren, doen. Van geslacht op geslacht. Zoals Mozes het in de hand van Jozua legde, zo leggen wij het in de hand van onze kinderen. Het is geen last die je alleen torst. Het is genade die dóenlijk werd — en die je doorgeeft.</w:t>
      </w:r>
    </w:p>
    <w:p>
      <w:pPr>
        <w:spacing w:lineRule="auto"/>
      </w:pPr>
      <w:r>
        <w:rPr/>
        <w:t xml:space="preserve">Dát is het tegenovergestelde van het heimelijke zich-zegenen. Niet een woord dat ik voor mijzelf houd om mijzelf gelijk te geven, maar een woord dat ik hardop voorlees, doorgeef, in de open hand leg van wie ná mij komt.</w:t>
      </w:r>
    </w:p>
    <w:p>
      <w:pPr>
        <w:pStyle w:val="Heading2"/>
        <w:spacing w:lineRule="auto"/>
      </w:pPr>
      <w:r>
        <w:rPr/>
        <w:t xml:space="preserve">De Mond die niet uit Zichzelf spreekt</w:t>
      </w:r>
    </w:p>
    <w:p>
      <w:pPr>
        <w:spacing w:lineRule="auto"/>
      </w:pPr>
      <w:r>
        <w:rPr/>
        <w:t xml:space="preserve">En helemaal aan het eind wordt dit nabije woord een Persoon.</w:t>
      </w:r>
    </w:p>
    <w:p>
      <w:pPr>
        <w:spacing w:lineRule="auto"/>
      </w:pPr>
      <w:r>
        <w:rPr/>
        <w:t xml:space="preserve">Johannes vertelt dat Jesaja Yeshua’s heerlijkheid zág en van Hem sprak (Johannes 12:41) — en let op, het is dezelfde profeet Jesaja die deze week onze haftara vult. Één Woord, van Mozes tot de profeten tot de Messias.</w:t>
      </w:r>
    </w:p>
    <w:p>
      <w:pPr>
        <w:spacing w:lineRule="auto"/>
      </w:pPr>
      <w:r>
        <w:rPr/>
        <w:t xml:space="preserve">En wat zegt Yeshua, als laatste woord tot de menigte?</w:t>
      </w:r>
    </w:p>
    <w:p>
      <w:pPr>
        <w:ind w:left="284"/>
        <w:jc w:val="both"/>
        <w:spacing w:lineRule="auto"/>
      </w:pPr>
      <w:r>
        <w:rPr/>
        <w:t xml:space="preserve">„Ik heb niet uit Mijzelven gesproken; maar de Vader… heeft Mij een gebod gegeven, wat Ik zeggen zal.” — Johannes 12:49</w:t>
      </w:r>
    </w:p>
    <w:p>
      <w:pPr>
        <w:spacing w:lineRule="auto"/>
      </w:pPr>
      <w:r>
        <w:rPr/>
        <w:t xml:space="preserve">Hoor je het? Een Mond die niet uit Zichzélf spreekt. Dat is het volmaakte tegendeel van de mens die zichzelf in het verborgene zegent. Yeshua is het nabije woord, belichaamd — het woord dat gedáán wordt, helemaal ontvangen van de Vader, helemaal doorgegeven aan ons.</w:t>
      </w:r>
    </w:p>
    <w:p>
      <w:pPr>
        <w:spacing w:lineRule="auto"/>
      </w:pPr>
      <w:r>
        <w:rPr/>
        <w:t xml:space="preserve">En Hij zegt erbij:</w:t>
      </w:r>
    </w:p>
    <w:p>
      <w:pPr>
        <w:ind w:left="284"/>
        <w:jc w:val="both"/>
        <w:spacing w:lineRule="auto"/>
      </w:pPr>
      <w:r>
        <w:rPr/>
        <w:t xml:space="preserve">„Ik ben een Licht, in de wereld gekomen, opdat een iegelijk, die in Mij gelooft, in de duisternis niet blijve.” — Johannes 12:46</w:t>
      </w:r>
    </w:p>
    <w:p>
      <w:pPr>
        <w:spacing w:lineRule="auto"/>
      </w:pPr>
      <w:r>
        <w:rPr/>
        <w:t xml:space="preserve">Het Licht kwam. Wij hoefden niet naar de hemel te klimmen om het te halen. Het is naar óns toe gekomen — in onze mond, in ons hart, in onze handen.</w:t>
      </w:r>
    </w:p>
    <w:p>
      <w:pPr>
        <w:spacing w:lineRule="auto"/>
      </w:pPr>
      <w:r>
        <w:rPr/>
        <w:t xml:space="preserve">Dus als iemand je ooit een juk oplegt in naam van de vrijheid, of jij jezelf een merkteken maakt om je stand veilig te stellen — keer dan terug naar dit ene: het woord is niet ver. God heeft je hart vrijgemaakt. Het ligt in je hand.</w:t>
      </w:r>
    </w:p>
    <w:p>
      <w:pPr>
        <w:spacing w:lineRule="auto"/>
      </w:pPr>
      <w:r>
        <w:rPr/>
        <w:t xml:space="preserve">Ontvang het. Doe het. En leg het in de hand van wie ná je komt.</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