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Zie, en kies</w:t>
      </w:r>
    </w:p>
    <w:p>
      <w:pPr>
        <w:spacing w:lineRule="auto"/>
      </w:pPr>
      <w:r>
        <w:rPr>
          <w:b/>
        </w:rPr>
        <w:t xml:space="preserve">Tora:</w:t>
      </w:r>
      <w:r>
        <w:rPr/>
        <w:t xml:space="preserve"> Deuteronomium 11:26–16:17</w:t>
      </w:r>
    </w:p>
    <w:p>
      <w:pPr>
        <w:spacing w:lineRule="auto"/>
      </w:pPr>
      <w:r>
        <w:rPr/>
        <w:t xml:space="preserve">  ·  </w:t>
      </w:r>
    </w:p>
    <w:p>
      <w:pPr>
        <w:spacing w:lineRule="auto"/>
      </w:pPr>
      <w:r>
        <w:rPr>
          <w:b/>
        </w:rPr>
        <w:t xml:space="preserve">Haftara:</w:t>
      </w:r>
      <w:r>
        <w:rPr/>
        <w:t xml:space="preserve"> Jesaja 54:11–55:5</w:t>
      </w:r>
    </w:p>
    <w:p>
      <w:pPr>
        <w:spacing w:lineRule="auto"/>
      </w:pPr>
      <w:r>
        <w:rPr/>
        <w:t xml:space="preserve">  ·  </w:t>
      </w:r>
    </w:p>
    <w:p>
      <w:pPr>
        <w:spacing w:lineRule="auto"/>
      </w:pPr>
      <w:r>
        <w:rPr>
          <w:b/>
        </w:rPr>
        <w:t xml:space="preserve">Evangelie:</w:t>
      </w:r>
      <w:r>
        <w:rPr/>
        <w:t xml:space="preserve"> Johannes 6:35–51</w:t>
      </w:r>
    </w:p>
    <w:p>
      <w:pPr>
        <w:spacing w:lineRule="auto"/>
      </w:pPr>
      <w:r>
        <w:rPr/>
        <w:t xml:space="preserve">Re’eh zet zegen en vloek voor je neer en vraagt: zie, en kies. De lezing gaat over kiezen dat echt is maar niet uit jezelf komt — ‘niet in eigen ogen, maar voor Zijn aangezicht’ — over de open hand van het sabbatsjaar en de vreugde die de vreemdeling insluit.</w:t>
      </w:r>
    </w:p>
    <w:p>
      <w:pPr>
        <w:ind w:left="284"/>
        <w:jc w:val="both"/>
        <w:spacing w:lineRule="auto"/>
      </w:pPr>
      <w:r>
        <w:rPr/>
        <w:t xml:space="preserve">„Zie, ik houd u heden zegen en vloek voor.” — Deuteronomium 11:26</w:t>
      </w:r>
    </w:p>
    <w:p>
      <w:pPr>
        <w:pStyle w:val="Heading2"/>
        <w:spacing w:lineRule="auto"/>
      </w:pPr>
      <w:r>
        <w:rPr/>
        <w:t xml:space="preserve">Twee bergen, één dal</w:t>
      </w:r>
    </w:p>
    <w:p>
      <w:pPr>
        <w:spacing w:lineRule="auto"/>
      </w:pPr>
      <w:r>
        <w:rPr/>
        <w:t xml:space="preserve">Mozes staat met het volk in de vlakten van Moab, aan de vooravond van het intrekken in het land. En de parasja begint niet met een gebod, maar met een blik. </w:t>
      </w:r>
      <w:r>
        <w:rPr/>
        <w:t xml:space="preserve">Re'eh</w:t>
      </w:r>
      <w:r>
        <w:rPr/>
        <w:t xml:space="preserve"> — zie. Nog voordat er iets van ons gevraagd wordt, worden onze ogen geopend: Mozes houdt het volk de zegen en de vloek voor, en hij wíjst. Daar, op de Gerizim, zal de zegen klinken; daar, op de Ebal, de vloek. En het volk staat in het dal daartussen.</w:t>
      </w:r>
    </w:p>
    <w:p>
      <w:pPr>
        <w:spacing w:lineRule="auto"/>
      </w:pPr>
      <w:r>
        <w:rPr/>
        <w:t xml:space="preserve">Het is een beeld om even bij stil te staan. Een heel volk, stil in een dal, met aan weerszijden een berg. Van het begin tot het einde van deze parasja wordt onze wil aangesproken met diezelfde nadruk: zie, en kies. Waarom herhaalt Mozes op deze drempel zoveel van wat het volk al weet? Omdat wat voor hen ligt geen informatie is, maar een keuze — en een keuze wil gezíen worden voordat zij gemaakt wordt.</w:t>
      </w:r>
    </w:p>
    <w:p>
      <w:pPr>
        <w:spacing w:lineRule="auto"/>
      </w:pPr>
      <w:r>
        <w:rPr/>
        <w:t xml:space="preserve">Maar — en hier ligt meteen de kern — het is niet zo dat wij de zegen en de vloek zelf verzinnen en daarna vrij mogen kiezen welke ons het beste uitkomt. De keuze is echt, onze wil wordt werkelijk aangesproken; en tegelijk gaat het erom op wíens voorwaarden wij kiezen. Kiezen wij het leven als een antwoord binnen wat God al gegeven heeft? Of bepalen wij zelf wat de maatstaf is? Dat is de vraag die de twee bergen ons stellen.</w:t>
      </w:r>
    </w:p>
    <w:p>
      <w:pPr>
        <w:pStyle w:val="Heading2"/>
        <w:spacing w:lineRule="auto"/>
      </w:pPr>
      <w:r>
        <w:rPr/>
        <w:t xml:space="preserve">In eigen ogen, of voor Zijn aangezicht</w:t>
      </w:r>
    </w:p>
    <w:p>
      <w:pPr>
        <w:spacing w:lineRule="auto"/>
      </w:pPr>
      <w:r>
        <w:rPr/>
        <w:t xml:space="preserve">Even verderop klinkt die vraag heel concreet. Gij zult niet doen „ieder wat recht is in zijn ogen" (Deut. 12:8). In het land zal niet ieder offeren op de plaats die hem goeddunkt; er is één plaats die de HEERE zal uitkiezen om Zijn Naam daar te doen wonen (Deut. 12:5,14). Dat klinkt als een inperking, en dat is het ook — maar het is de inperking die ons juist vrijmaakt. Want zolang ík de plaats en de maatstaf bepaal, dien ik uiteindelijk mijzelf. Pas als Híj de plaats aanwijst, kan ik werkelijk Hém dienen.</w:t>
      </w:r>
    </w:p>
    <w:p>
      <w:pPr>
        <w:spacing w:lineRule="auto"/>
      </w:pPr>
      <w:r>
        <w:rPr/>
        <w:t xml:space="preserve">Daar staat, in één zin, de hele tegenstelling van de twee bergen. De kant van de vloek is: mijn eigen oog wordt de bron en de maatstaf; ik bepaal wat goed is, en God mag zich daarnaar voegen. De kant van de zegen is: ik navigeer naar de plaats die de HEERE uitkiest; ik leef vóór Zijn aangezicht. En laten wij dat niet verkeerd verstaan — „voor Zijn aangezicht leven" is geen passiviteit, alsof wij niets meer te kiezen hádden. Het is juist de meest wakkere manier van leven die er is. Niet mijn oog dat zich sluit, maar mijn oog dat opkijkt. Niet grijpen naar wat ik voor mezelf kan vasthouden, maar ontvangen wat mij gegeven wordt. Het verschil zit niet in méér of minder inspanning — het zit in de richting van ons hart.</w:t>
      </w:r>
    </w:p>
    <w:p>
      <w:pPr>
        <w:pStyle w:val="Heading2"/>
        <w:spacing w:lineRule="auto"/>
      </w:pPr>
      <w:r>
        <w:rPr/>
        <w:t xml:space="preserve">De wetten van de parasja, gelezen langs deze lijn</w:t>
      </w:r>
    </w:p>
    <w:p>
      <w:pPr>
        <w:spacing w:lineRule="auto"/>
      </w:pPr>
      <w:r>
        <w:rPr/>
        <w:t xml:space="preserve">Als wij dat eenmaal zien, gaat de hele parasja open. Want alle geboden die hier volgen zijn variaties op dat ene: wie is de bron — mijn oog, of Zijn aangezicht? De afgoden moeten worden uitgeroeid (Deut. 12), want een afgod is niets anders dan een god naar eigen maat. Het onreine wordt van het reine onderscheiden (Deut. 14) — niet als willekeur, maar omdat een volk dat de HEERE toebehoort ook in het gewone, in wat het eet, van Hém is. De tienden worden opgebracht en gedeeld met de Leviet, de vreemdeling, de wees en de weduwe (Deut. 14:28–29): het overvloedige stroomt door naar wie niets heeft.</w:t>
      </w:r>
    </w:p>
    <w:p>
      <w:pPr>
        <w:spacing w:lineRule="auto"/>
      </w:pPr>
      <w:r>
        <w:rPr/>
        <w:t xml:space="preserve">En de parasja loopt uit op de drie feesten: Pesach, het Wekenfeest en het Loofhuttenfeest, waarop heel Israël driemaal per jaar opgaat en verschijnt „voor het aangezicht van de HEERE" (Deut. 16:16). Let op hoe het slot rijmt met het begin: wat als keuze tussen twee bergen begon, eindigt als een feest vóór Zijn aangezicht. En bij die feesten staat, keer op keer, één woord: vreugde. „Gij zult vrolijk zijn." De hele beweging van de parasja is een beweging naar de vreugde van wie voor Gods aangezicht leeft.</w:t>
      </w:r>
    </w:p>
    <w:p>
      <w:pPr>
        <w:pStyle w:val="Heading2"/>
        <w:spacing w:lineRule="auto"/>
      </w:pPr>
      <w:r>
        <w:rPr/>
        <w:t xml:space="preserve">De sjmita en de open hand</w:t>
      </w:r>
    </w:p>
    <w:p>
      <w:pPr>
        <w:spacing w:lineRule="auto"/>
      </w:pPr>
      <w:r>
        <w:rPr/>
        <w:t xml:space="preserve">Midden in die beweging staat het sabbatsjaar, de </w:t>
      </w:r>
      <w:r>
        <w:rPr/>
        <w:t xml:space="preserve">sjmita</w:t>
      </w:r>
      <w:r>
        <w:rPr/>
        <w:t xml:space="preserve">: het zevende jaar van kwijtschelden en loslaten, de hand wijd geopend voor de arme (Deut. 15). En het opvallende is dat God dat niet motiveert met een regel, maar met een herinnering. Gedenk dat gij een slaaf zijt geweest in het land Egypte, en dat de HEERE, uw God, u verlost heeft — dáárom: open uw hand.</w:t>
      </w:r>
    </w:p>
    <w:p>
      <w:pPr>
        <w:spacing w:lineRule="auto"/>
      </w:pPr>
      <w:r>
        <w:rPr/>
        <w:t xml:space="preserve">Hier gebeurt precies de omkering die de hele parasja draagt. Wie grijpt, wie vasthoudt, wie zijn hand sluit rond wat van hem is — die leeft nog in Egypte, ook al is hij het land uit. Maar wie geproefd heeft dat hij zélf is vrijgekocht, die kan de hand openen. De open hand is niet eerst een prestatie; zij is de lichamelijke vorm van een hart dat ontvangen heeft.</w:t>
      </w:r>
    </w:p>
    <w:p>
      <w:pPr>
        <w:spacing w:lineRule="auto"/>
      </w:pPr>
      <w:r>
        <w:rPr/>
        <w:t xml:space="preserve">Wat zo'n open hand is, heb ik van dichtbij gezien bij mijn grootvader, die in de diaconie omzag naar mensen in nood — soms door eigen toedoen, soms door ongeluk daarin geraakt. Hij maakte daar geen onderscheid in. En hij gaf niet alléén het geld of het materiële; als hij bij die mensen was, sprak hij ook over de liefde en de genade van God, en over het belang van bekering, van terugkeer naar Hem. Zo geeft de open hand meer dan brood: zij wijst terug naar God. En zij geeft zonder te sjoemelen — niet zó dat het uiteindelijk toch in ons eigen voordeel uitkomt, maar vanuit een hart dat op Hém gericht is en niet op zichzelf.</w:t>
      </w:r>
    </w:p>
    <w:p>
      <w:pPr>
        <w:spacing w:lineRule="auto"/>
      </w:pPr>
      <w:r>
        <w:rPr/>
        <w:t xml:space="preserve">Ik was nog een klein jongetje toen mijn moeder mijn oma verzorgde, die dementerend was, en ik mocht mee. Ik voelde me daar welkom, ook al werd het soms moeilijk toen mijn oma mij niet meer herkende. Maar wat mij het meest is bijgebleven, is mijn opa: vóór het bidden opende hij eerst zijn handen aan tafel, en vouwde ze daarna. Hij leefde eenvoudig, werd drieënnegentig, en bracht al zijn kinderen en kleinkinderen biddend bij de Heere. Wat hij deed, deed hij niet omdat het goed stond in eigen ogen, maar uit liefde, met open handen — niet rechtvaardig in eigen ogen, maar doende wat God van hem vroeg. Die geopende handen zijn voor mij de uitleg van deze hele parasja geworden.</w:t>
      </w:r>
    </w:p>
    <w:p>
      <w:pPr>
        <w:spacing w:lineRule="auto"/>
      </w:pPr>
      <w:r>
        <w:rPr/>
        <w:t xml:space="preserve">En zo mogen wij ook dat andere woord verstaan: gij zult vrolijk zijn vóór het aangezicht van de HEERE (Deut. 16:11). Dat is geen bevel dat als een last op ons drukt — wéés nu maar blij. Het is een belofte die werkelijkheid wórdt. Wie de vrijheid proeft, wie werkelijk wéét dat hij vrij is, díe wordt vreugdevol; en die vreugde is zo groot dat je haar niet voor jezelf houdt. Je wordt vrijmoedig: vrij in je gemoed, en moedig genoeg om die vrijheid te delen. Maar dan moeten wij wel loslaten wat ons terneerdrukt. God zegt niet: houd voor ogen wat jou is aangedaan, de slavernij, de onderdrukking van al die jaren. Hij zegt: Ík wil je vrijheid geven. De last die je moe maakte en terneersloeg, neemt Hij weg — en daarom mág de vreugde ook een opdracht zijn: ga zó ver dat je haar beleeft.</w:t>
      </w:r>
    </w:p>
    <w:p>
      <w:pPr>
        <w:pStyle w:val="Heading2"/>
        <w:spacing w:lineRule="auto"/>
      </w:pPr>
      <w:r>
        <w:rPr/>
        <w:t xml:space="preserve">De stilte die het hart beproeft</w:t>
      </w:r>
    </w:p>
    <w:p>
      <w:pPr>
        <w:spacing w:lineRule="auto"/>
      </w:pPr>
      <w:r>
        <w:rPr/>
        <w:t xml:space="preserve">Er zit nog iets in dat rusten en loslaten van het sabbatsjaar. Als wij stil worden en even niets kunnen doen, komt naar boven wat er werkelijk in ons hart leeft — het wordt bijna een openbaring van wie wij zelf zijn. Dat is niet altijd aangenaam. Wij kunnen onszelf uitstekend voor de gek houden, en de stilte haalt dat zelfbedrog naar de oppervlakte.</w:t>
      </w:r>
    </w:p>
    <w:p>
      <w:pPr>
        <w:spacing w:lineRule="auto"/>
      </w:pPr>
      <w:r>
        <w:rPr/>
        <w:t xml:space="preserve">Nu kunnen wij dat wegdrukken. Wij kunnen de stilte het zwijgen opleggen en niet luisteren naar wat er opkomt. Maar wij mogen het ook anders doen: ons hart openstellen voor wat God ons wil laten zien. Híj is het immers die „hart en nieren beproeft" (Ps. 7:10; Jer. 17:10). Dit is geen psychologisch praatje over ons zelfbeeld — al maken therapeuten daar soms gebruik van. Wij lezen dit in de Schrift zelf. De rust die deze parasja ons geeft is niet leeg; zij is een middel dat God ons in handen geeft om onszelf, in Zijn licht, beter te leren kennen.</w:t>
      </w:r>
    </w:p>
    <w:p>
      <w:pPr>
        <w:spacing w:lineRule="auto"/>
      </w:pPr>
      <w:r>
        <w:rPr/>
        <w:t xml:space="preserve">En zie hoe de twee rustpunten van deze parasja elkaar aanvullen. De rust van het sabbatsjaar beproeft de hand: geef ik, of houd ik in? De rust van het feest daarentegen vult zich met gedeelde vreugde vóór Gods aangezicht. Het zijn twee gestalten van dezelfde rust — en beide leggen bloot waar ons hart op gericht is: op onszelf, of op Hem.</w:t>
      </w:r>
    </w:p>
    <w:p>
      <w:pPr>
        <w:pStyle w:val="Heading2"/>
        <w:spacing w:lineRule="auto"/>
      </w:pPr>
      <w:r>
        <w:rPr/>
        <w:t xml:space="preserve">Door God onderwezen</w:t>
      </w:r>
    </w:p>
    <w:p>
      <w:pPr>
        <w:spacing w:lineRule="auto"/>
      </w:pPr>
      <w:r>
        <w:rPr/>
        <w:t xml:space="preserve">Hoe ontvangen wij dan wat Hij ons wil leren? Het begint bij een gave, niet bij een prestatie: God heeft ons macht gegeven om kinderen van God te worden (Joh. 1:12). En de profeet had het al gezegd, Yeshua haalt het aan: „zij zullen allen door God onderwezen zijn" (Jes. 54:13; Joh. 6:45) — en het is geen toeval dat juist Jesaja 54 deze week de haftara is die bij Re'eh hoort. Het onderwijs waar het op aankomt komt niet uit onszelf op; het wordt ons gegeven. En daarom is de vraag niet in de eerste plaats hóé knap wij zijn, maar wat voor grónd ons hart is.</w:t>
      </w:r>
    </w:p>
    <w:p>
      <w:pPr>
        <w:spacing w:lineRule="auto"/>
      </w:pPr>
      <w:r>
        <w:rPr/>
        <w:t xml:space="preserve">Yeshua vertelt het in de gelijkenis van de zaaier. Hetzelfde zaad valt op de weg, op de rotsgrond, tussen de doornen — en in de goede aarde. Straks, als wij deze lezing gehoord of gelezen hebben, laten wij het dan wegpikken door de afleiding van alledag, door wat de mensen over ons zeggen, door de gebeurtenissen om ons heen? Zijn wij een tijdje enthousiast, tot de beproevingen komen en de doornen het weer verstikken? Of zijn wij die goede aarde, die zich opent en het zaad ontvangt, zodat het honderdvoudig vrucht draagt (Mark. 4)?</w:t>
      </w:r>
    </w:p>
    <w:p>
      <w:pPr>
        <w:spacing w:lineRule="auto"/>
      </w:pPr>
      <w:r>
        <w:rPr/>
        <w:t xml:space="preserve">Kijk hoe scherp de Schrift dit laat zien, juist waar mensen struikelen. In Johannes 6 wijzen de hoorders Yeshua af met een oordeel over Zijn afkomst: „kennen wij niet Zijn vader en Zijn moeder?" (Joh. 6:42). Zij meten Hem af aan wat in hún ogen past. En dat is precies het „in eigen ogen" van Deuteronomium 12, nu toegepast op een mens. Zo kijken wij ook vaak — naar elkaar, naar de jongeren onder ons, en naar onszelf. Het gaat er niet om hoe wij over onszelf dénken; het gaat erom hoe God ons zíet. Hij ziet ons niet op grond van waar wij vandaan komen, maar op grond van wie wij bíj Hem mogen zijn.</w:t>
      </w:r>
    </w:p>
    <w:p>
      <w:pPr>
        <w:pStyle w:val="Heading2"/>
        <w:spacing w:lineRule="auto"/>
      </w:pPr>
      <w:r>
        <w:rPr/>
        <w:t xml:space="preserve">Tekenen bewijzen niets</w:t>
      </w:r>
    </w:p>
    <w:p>
      <w:pPr>
        <w:spacing w:lineRule="auto"/>
      </w:pPr>
      <w:r>
        <w:rPr/>
        <w:t xml:space="preserve">Daarom waarschuwt deze parasja ook, en scherp. Als er een profeet opstaat die een teken of een wonder doet dat zelfs útkomt, maar u wegleidt van de HEERE — loop hem dan niet achterna (Deut. 13). Want dat teken is een beproeving: heb je Hém lief? Het útkomen van een teken is nooit het bewijs dat iets waar is. En let op hoe dit aanhaakt bij dat „in eigen ogen”. Juist een indrukwekkend teken kan het oog verblinden: wij zijn onder de indruk, en dus geloven wij. Maar de tekst leert ons om niet ons oog, en niet het spektakel, het laatste woord te geven — maar de vraag van wíe het komt, en waarheen het leidt.</w:t>
      </w:r>
    </w:p>
    <w:p>
      <w:pPr>
        <w:spacing w:lineRule="auto"/>
      </w:pPr>
      <w:r>
        <w:rPr/>
        <w:t xml:space="preserve">Wonderen zijn ook niet het exclusieve bezit van God. Wie eerlijk om zich heen kijkt, ziet dat er in allerlei religies tekenen en wonderen worden gemeld. Het feit dát er iets bijzonders gebeurt, zegt op zichzelf niets. De mensen in Yeshua's dagen verlangden een teken, en Hij gaf hun geen ander dan het teken van Jona (Matt. 12:39). Maar wat voor teken is dat eigenlijk? Er was misschien niemand bij toen Jona in de vis zat; er zijn geen beelden van, niets is bewaard of gepost. Daar gaat het ook niet om.</w:t>
      </w:r>
    </w:p>
    <w:p>
      <w:pPr>
        <w:spacing w:lineRule="auto"/>
      </w:pPr>
      <w:r>
        <w:rPr/>
        <w:t xml:space="preserve">Waar gaat het dán om? „Open uw hand wijd," zegt de Thora, „en wees op uw hoede dat er in uw hart geen bedorven gedachte is" (Deut. 15). Het hoort allemaal bij elkaar: onze levensstijl, hoe wij met elkaar omgaan, hoe wij omgaan met informatie en met de dingen die wij doen. Yeshua noemt niet het spectaculaire teken als toets, maar de beker koud water aan wie dorst heeft (Matt. 10:42). Hij vraagt niet hoeveel euro's je gaf, of hoe groot je banksaldo is — ieder heeft daarin een ander kunnen. Hij vraagt of je hebt liefgehad. Dat is niet een nieuw systeem of een moderne ideologie; dat is het hart van God zelf.</w:t>
      </w:r>
    </w:p>
    <w:p>
      <w:pPr>
        <w:pStyle w:val="Heading2"/>
        <w:spacing w:lineRule="auto"/>
      </w:pPr>
      <w:r>
        <w:rPr/>
        <w:t xml:space="preserve">Corrigeerbaar blijven</w:t>
      </w:r>
    </w:p>
    <w:p>
      <w:pPr>
        <w:spacing w:lineRule="auto"/>
      </w:pPr>
      <w:r>
        <w:rPr/>
        <w:t xml:space="preserve">Zo komen wij terug bij de plaats die de HEERE uitkiest. De parasja laat zien dat het erom gaat God te dienen zoals Híj het wil, niet zoals het recht is in onze eigen ogen. Wie werkelijk met een open hart voor God leeft, vindt het niet moeilijk om te aanvaarden dat God zélf bepaalt hoe Hij gediend wil worden. En juist dáár wringt het in onze tijd: wij zien mensen zich op allerlei manieren profileren, om aandacht, om in het middelpunt te staan, om God te dienen op hun eigen voorwaarden. Eerlijk gezegd hebben wij daar allemaal last van — ik ook — dat wij het vaak beter menen te weten dan de ander.</w:t>
      </w:r>
    </w:p>
    <w:p>
      <w:pPr>
        <w:spacing w:lineRule="auto"/>
      </w:pPr>
      <w:r>
        <w:rPr/>
        <w:t xml:space="preserve">Daarom is dit een goede geestelijke thermometer: merk je dat je niet meer corrigeerbaar bent, dat je geen tegenspraak meer verdraagt? Dan is dát het moment om op de knieën te gaan en God te vragen of Hij je wil laten zien wat er niet in orde is. Want God onderwijst ons ook door wat een ander tegen ons zegt. Wij mogen oprecht naar elkaar luisteren en elkaar helpen dicht bij het Woord te blijven.</w:t>
      </w:r>
    </w:p>
    <w:p>
      <w:pPr>
        <w:spacing w:lineRule="auto"/>
      </w:pPr>
      <w:r>
        <w:rPr/>
        <w:t xml:space="preserve">Het is het Woord — en de Logos, het vleesgeworden Woord — dat ons uittilt boven onze eigen systemen en onze blinde vlekken, omdat het van God zelf gegeven is. Hij maakt blinden ziende, doven horend, en doden levend. Dat kunnen wij niet; en wie beweert dat hij het zélf kan, daar blijf je maar beter uit de buurt. Het is aan God, niet aan een mens.</w:t>
      </w:r>
    </w:p>
    <w:p>
      <w:pPr>
        <w:pStyle w:val="Heading2"/>
        <w:spacing w:lineRule="auto"/>
      </w:pPr>
      <w:r>
        <w:rPr/>
        <w:t xml:space="preserve">Niets voor Zijn aangezicht</w:t>
      </w:r>
    </w:p>
    <w:p>
      <w:pPr>
        <w:spacing w:lineRule="auto"/>
      </w:pPr>
      <w:r>
        <w:rPr/>
        <w:t xml:space="preserve">Zo komen wij bij het diepste beeld van deze parasja. Achter al deze geboden staat het eerste: „gij zult geen andere goden voor Mijn aangezicht hebben" (Ex. 20:3) — niets tussen Hem en ons in. Denk aan een man en een vrouw die elkaar, gelijkwaardig, recht in de ogen kunnen kijken: dan staat er niets tussen hen. Kun je elkaar niet meer recht aankijken, dan weet je dat er iets niet goed zit. Zo vraagt God het ook van ons: niet dat wij iets hébben wat goed is in onze eigen ogen, maar dat wij Hém recht in de ogen kunnen kijken.</w:t>
      </w:r>
    </w:p>
    <w:p>
      <w:pPr>
        <w:spacing w:lineRule="auto"/>
      </w:pPr>
      <w:r>
        <w:rPr/>
        <w:t xml:space="preserve">En diezelfde gelijkwaardigheid vraagt Hij ook ónder ons. Hij leert ons de ander niet te beoordelen op wíe hij is — op afkomst, op naam, op wat wij menen te weten — maar op de zaak zelf. Zoals Hij ons ook nooit benadert op grond van wat wij gedaan hebben, maar op grond van wie wij bij Hem mogen zijn, zoals Hij ons bedoelt.</w:t>
      </w:r>
    </w:p>
    <w:p>
      <w:pPr>
        <w:spacing w:lineRule="auto"/>
      </w:pPr>
      <w:r>
        <w:rPr/>
        <w:t xml:space="preserve">En hier ligt de grens van al ons opruimen. Wij mogen ijverig zijn om weg te doen wat tussen God en ons in staat — en dat is ook belangrijk. Maar wat er werkelijk tussen stáát, kunnen wij niet zelf wegnemen. Daarvoor hebben wij geloof nodig: geloof dat Yeshua wegneemt wat tussen God en ons in staat, en vergeving schenkt door Zijn offer. Dat offer heeft Híj bedacht, niet wij; wij hebben het niet gecreëerd, wij mogen het ontvangen. En zó — ontvangend — komen wij in een rechte verhouding tot de Vader.</w:t>
      </w:r>
    </w:p>
    <w:p>
      <w:pPr>
        <w:pStyle w:val="Heading2"/>
        <w:spacing w:lineRule="auto"/>
      </w:pPr>
      <w:r>
        <w:rPr/>
        <w:t xml:space="preserve">Yeshua, het volmaakte antwoord</w:t>
      </w:r>
    </w:p>
    <w:p>
      <w:pPr>
        <w:spacing w:lineRule="auto"/>
      </w:pPr>
      <w:r>
        <w:rPr/>
        <w:t xml:space="preserve">Zie dan hoe Hij zelf het volmaakte antwoord is op de vraag van de twee bergen. Als Yeshua in de synagoge de Jesaja-rol leest — „om aan gevangenen vrijlating te prediken" — zegt Hij: „Heden is deze Schrift in uw oren vervuld" (Luk. 4:18–21). De vrijheid van de sjmita, de kwijtschelding van alle schuld, wordt in Hém werkelijkheid. En Hij zegt van zichzelf dat Hij is neergedaald „niet om Mijn wil te doen, maar de wil van Hem die Mij gezonden heeft" (Joh. 6:38).</w:t>
      </w:r>
    </w:p>
    <w:p>
      <w:pPr>
        <w:spacing w:lineRule="auto"/>
      </w:pPr>
      <w:r>
        <w:rPr/>
        <w:t xml:space="preserve">Daar staat de mens die volkomen níet in eigen ogen leeft, maar geheel voor het aangezicht van Zijn Vader. Dat is de Gerizim-kant, volmaakt belichaamd. En Petrus zegt dat wij in Zijn voetstappen mogen wandelen — niet om onszelf te bewijzen, maar om, net als Hij, anderen in de vrijheid te zetten. De zegen kiezen is uiteindelijk: Hém volgen die de zegen zelf is.</w:t>
      </w:r>
    </w:p>
    <w:p>
      <w:pPr>
        <w:pStyle w:val="Heading2"/>
        <w:spacing w:lineRule="auto"/>
      </w:pPr>
      <w:r>
        <w:rPr/>
        <w:t xml:space="preserve">De kleine dingen, en de genade</w:t>
      </w:r>
    </w:p>
    <w:p>
      <w:pPr>
        <w:spacing w:lineRule="auto"/>
      </w:pPr>
      <w:r>
        <w:rPr/>
        <w:t xml:space="preserve">Waar loopt dit alles op uit? Niet op een nieuwe lijst die wij moeten afvinken. Als deze parasja zou eindigen in nog méér prestatie, zou zij haar eigen boodschap tegenspreken. Zij loopt uit op genade — en op de kleine, eenvoudige dingen waardoor wij dicht bij God blijven.</w:t>
      </w:r>
    </w:p>
    <w:p>
      <w:pPr>
        <w:spacing w:lineRule="auto"/>
      </w:pPr>
      <w:r>
        <w:rPr/>
        <w:t xml:space="preserve">Ik denk weer aan mijn grootvader, die in alle eenvoud alles teruglegde in de handen van de Heere: de dag beginnen, de maaltijd openen en sluiten, een stukje lezen uit Gods Woord. Het kost weinig tijd, en toch maken wij er soms een heel ding van. Maar juist die kleine gewoonten — het lezen van de parasja, week in week uit — houden ons dicht bij het levende Woord. En het gaat daarbij niet om alles intellectueel precies te weten, om het bíj de Schrift beter te weten dan een ander. Het gaat erom dat God Zijn Woord gebruikt als een levend woord, waarmee Hij tot ons hart spreekt. Daardoor worden wij telkens stilgezet; daardoor spreekt Hij. De mens zal niet leven van brood alleen, maar van elk woord dat God gesproken heeft (Deut. 8:3; Matt. 4:4).</w:t>
      </w:r>
    </w:p>
    <w:p>
      <w:pPr>
        <w:spacing w:lineRule="auto"/>
      </w:pPr>
      <w:r>
        <w:rPr/>
        <w:t xml:space="preserve">Re'eh.</w:t>
      </w:r>
      <w:r>
        <w:rPr/>
        <w:t xml:space="preserve"> Zie, en kies. En het kiezen blijkt vooral een ontvangen te zijn: elke dag opnieuw, met open handen, voor Zijn aangezicht, blijvend in Yeshua. Laten wij ons daarnaar uitstrekken, broeders en zusters — niet in onze eigen ogen, maar omdat Híj het gesproken heeft.</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