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Lezing &amp; Toelichting</w:t>
      </w:r>
    </w:p>
    <w:p>
      <w:pPr>
        <w:pStyle w:val="Heading1"/>
        <w:spacing w:lineRule="auto"/>
      </w:pPr>
      <w:r>
        <w:rPr/>
        <w:t xml:space="preserve">Gerechtigheid najagen</w:t>
      </w:r>
    </w:p>
    <w:p>
      <w:pPr>
        <w:spacing w:lineRule="auto"/>
      </w:pPr>
      <w:r>
        <w:rPr>
          <w:b/>
        </w:rPr>
        <w:t xml:space="preserve">Tora:</w:t>
      </w:r>
      <w:r>
        <w:rPr/>
        <w:t xml:space="preserve"> Deuteronomium 16:18–21:9</w:t>
      </w:r>
    </w:p>
    <w:p>
      <w:pPr>
        <w:spacing w:lineRule="auto"/>
      </w:pPr>
      <w:r>
        <w:rPr/>
        <w:t xml:space="preserve">  ·  </w:t>
      </w:r>
    </w:p>
    <w:p>
      <w:pPr>
        <w:spacing w:lineRule="auto"/>
      </w:pPr>
      <w:r>
        <w:rPr>
          <w:b/>
        </w:rPr>
        <w:t xml:space="preserve">Haftara:</w:t>
      </w:r>
      <w:r>
        <w:rPr/>
        <w:t xml:space="preserve"> Jesaja 51:12–52:12</w:t>
      </w:r>
    </w:p>
    <w:p>
      <w:pPr>
        <w:spacing w:lineRule="auto"/>
      </w:pPr>
      <w:r>
        <w:rPr/>
        <w:t xml:space="preserve">  ·  </w:t>
      </w:r>
    </w:p>
    <w:p>
      <w:pPr>
        <w:spacing w:lineRule="auto"/>
      </w:pPr>
      <w:r>
        <w:rPr>
          <w:b/>
        </w:rPr>
        <w:t xml:space="preserve">Evangelie:</w:t>
      </w:r>
      <w:r>
        <w:rPr/>
        <w:t xml:space="preserve"> Johannes 14:9–20</w:t>
      </w:r>
    </w:p>
    <w:p>
      <w:pPr>
        <w:spacing w:lineRule="auto"/>
      </w:pPr>
      <w:r>
        <w:rPr/>
        <w:t xml:space="preserve">In Shoftim wordt alle gezag — rechter, koning, profeet, priester — door God gegeven, en juist daarom begrensd en toetsbaar. Rond het beeld van de koning die eigenhandig de Tora overschrijft, ‘opdat zijn hart zich niet verheft’, loopt de lezing naar een God die het leven beschermt tot in de oorlog toe, en naar Yeshua als het gezag dat ‘niet uit Zichzelf’ spreekt.</w:t>
      </w:r>
    </w:p>
    <w:p>
      <w:pPr>
        <w:spacing w:lineRule="auto"/>
      </w:pPr>
      <w:r>
        <w:rPr/>
        <w:t xml:space="preserve">De parasja van deze week begint bij de poort. Bij de stadspoort, waar in het oude Israël recht werd gesproken — daar kwamen de mensen samen, en daar werd beslist wie gelijk had. En het eerste wat er staat is een opdracht om dat goed te regelen: stel rechters en ambtenaren aan, in al je poorten. En dan valt er een zin die je maar één keer hoeft te horen om hem nooit meer te vergeten. Er staat een woord in, twee keer achter elkaar:</w:t>
      </w:r>
    </w:p>
    <w:p>
      <w:pPr>
        <w:ind w:left="284"/>
        <w:jc w:val="both"/>
        <w:spacing w:lineRule="auto"/>
      </w:pPr>
      <w:r>
        <w:rPr/>
        <w:t xml:space="preserve">‘Gerechtigheid, gerechtigheid zult gij najagen.’ — Deuteronomium 16:20</w:t>
      </w:r>
    </w:p>
    <w:p>
      <w:pPr>
        <w:spacing w:lineRule="auto"/>
      </w:pPr>
      <w:r>
        <w:rPr/>
        <w:t xml:space="preserve">Tzedek, tzedek. Twee keer. Gerechtigheid is niets wat je hébt — het is iets wat je nájaagt. Je bezit het nooit helemaal; je blijft het zoeken, elke dag opnieuw. En met rechtvaardige middelen: het doel heiligt de weg niet. En dan gaat de hele parasja één vraag uitwerken, blok na blok: wie mag er eigenlijk richten? Wie mag regeren, spreken, oordelen — en op wiens gezag? De rechter, de koning, de priester, de profeet komen allemaal voorbij. En telkens gebeurt hetzelfde: steeds als de tekst iemand gezag gééft, zet hij er in dezelfde adem een grens omheen.</w:t>
      </w:r>
    </w:p>
    <w:p>
      <w:pPr>
        <w:pStyle w:val="Heading2"/>
        <w:spacing w:lineRule="auto"/>
      </w:pPr>
      <w:r>
        <w:rPr/>
        <w:t xml:space="preserve">Het begint bij je houding</w:t>
      </w:r>
    </w:p>
    <w:p>
      <w:pPr>
        <w:spacing w:lineRule="auto"/>
      </w:pPr>
      <w:r>
        <w:rPr/>
        <w:t xml:space="preserve">Even daarvóór staat er iets kleins wat de toon zet. Het gaat over een offer met een gebrek — een dier dat mismaakt is — en dat mag je niet brengen. Waarom niet? Omdat een offer laat zien hoe je hart naar God staat. Als ik Hem het gebrekkige geef, het restje, dan zeg ik eigenlijk stilletjes: dit is Uw schuld, U hebt het maar zo gemaakt. Dan neem ik geen verantwoordelijkheid. Máár als ik ga staan waar God me bedoelt, dan geef ik Hem het béste van wat ik van Hem ontving. Zo laat deze parasja meteen iets zien van het hart van God — hoe Híj naar recht en gerechtigheid kijkt — en Hij wil dat graag aan ons doorgeven.</w:t>
      </w:r>
    </w:p>
    <w:p>
      <w:pPr>
        <w:pStyle w:val="Heading2"/>
        <w:spacing w:lineRule="auto"/>
      </w:pPr>
      <w:r>
        <w:rPr/>
        <w:t xml:space="preserve">De machtigste man, met de wet op zijn schoot</w:t>
      </w:r>
    </w:p>
    <w:p>
      <w:pPr>
        <w:spacing w:lineRule="auto"/>
      </w:pPr>
      <w:r>
        <w:rPr/>
        <w:t xml:space="preserve">Neem het scherpste voorbeeld: de koning. Je zou verwachten dat de koning bóven de wet staat — zo ging het bij alle volken rondom; de koning wás de wet. Máár kijk wat hier staat. God staat een koning toe, maar het moet er één zijn die Híj kiest, uit je eigen broeders. Geen leger van paarden, geen harem, geen bergen goud. En dan dit:</w:t>
      </w:r>
    </w:p>
    <w:p>
      <w:pPr>
        <w:ind w:left="284"/>
        <w:jc w:val="both"/>
        <w:spacing w:lineRule="auto"/>
      </w:pPr>
      <w:r>
        <w:rPr/>
        <w:t xml:space="preserve">‘Hij zal voor zichzelf een afschrift van deze wet schrijven … en daarin lezen al de dagen van zijn leven … opdat zijn hart zich niet verheft boven zijn broeders.’ — Deuteronomium 17:18–20</w:t>
      </w:r>
    </w:p>
    <w:p>
      <w:pPr>
        <w:spacing w:lineRule="auto"/>
      </w:pPr>
      <w:r>
        <w:rPr/>
        <w:t xml:space="preserve">Zie het voor je. De machtigste man van het land, en wat doet hij? Hij zit de wet óver te schrijven. Met zijn eigen hand, woord voor woord. En let op wat dat met een mens doet. Je spreekt de woorden uit, je vormt ze met je hand, je ogen gaan eroverheen — je hele lijf is erbij. Dat is iets heel anders dan twee tikjes op een scherm, copy-paste. Wij leven in een tempo waarin we amper nog de tijd némen voor het Woord: een appje, een stukje uit een dagboek, en door. Máár de koning kreeg de opdracht om het over te schrijven — tijd vrij te maken, apart te zetten, er niet even snel doorheen te gaan.</w:t>
      </w:r>
    </w:p>
    <w:p>
      <w:pPr>
        <w:spacing w:lineRule="auto"/>
      </w:pPr>
      <w:r>
        <w:rPr/>
        <w:t xml:space="preserve">En God zegt er het dóel bij: ‘opdat zijn hart zich niet verheft boven zijn broeders.’ Hoor je het? God gééft de woorden — ze komen bij Hém vandaan — en Hij legt ze in onze handen, zodat wij er met onze handen ook iets mee dóen: niet alleen overschrijven, maar toepassen, erin leven. En de grens die Hij eraan verbindt maakt de koning niet mínder koning. Ze maakt hem betróuwbaar. Hij regeert niet als een god boven de mensen, máár als een broeder tussen broeders, met het Woord op zijn schoot.</w:t>
      </w:r>
    </w:p>
    <w:p>
      <w:pPr>
        <w:pStyle w:val="Heading2"/>
        <w:spacing w:lineRule="auto"/>
      </w:pPr>
      <w:r>
        <w:rPr/>
        <w:t xml:space="preserve">Overmoed, en waar ze zich laat zien</w:t>
      </w:r>
    </w:p>
    <w:p>
      <w:pPr>
        <w:spacing w:lineRule="auto"/>
      </w:pPr>
      <w:r>
        <w:rPr/>
        <w:t xml:space="preserve">En daar tegenover staat het woord dat door deze hele parasja loopt: overmoed. Er staat dat wie óvermoedig handelt — wie niet luistert naar de priester of de rechter die daar in Gods naam staat — daarmee iets losmaakt wat kwaad is. Overmoed laat zich zien in één ding: in ongehoorzaamheid aan het gezag dat God heeft ingesteld. En let op: het gaat hier niet om de mens die eerlijk worstelt met een vraag — het gaat om de hóuding die zichzelf bóven het Woord stelt, die zélf wil bepalen of het Woord nog geldt. Niet de vrager, maar de houding die geen gezag meer boven zich duldt.</w:t>
      </w:r>
    </w:p>
    <w:p>
      <w:pPr>
        <w:spacing w:lineRule="auto"/>
      </w:pPr>
      <w:r>
        <w:rPr/>
        <w:t xml:space="preserve">Want als je moeilijk zit met een zaak, mag je die juist omhoog brengen, naar de hogere rechtbank op de plaats die God koos — zo werkt het bij ons ook nog, met een hoger beroep. En dan geldt: wat die rechtbank uitspreekt, dat is bindend. Het kwaad zit niet in het niet-weten of het vragen; het zit in het minachten van de uitspraak, in het je niets meer laten gezeggen.</w:t>
      </w:r>
    </w:p>
    <w:p>
      <w:pPr>
        <w:pStyle w:val="Heading2"/>
        <w:spacing w:lineRule="auto"/>
      </w:pPr>
      <w:r>
        <w:rPr/>
        <w:t xml:space="preserve">Wie van het volk mag ontvangen</w:t>
      </w:r>
    </w:p>
    <w:p>
      <w:pPr>
        <w:spacing w:lineRule="auto"/>
      </w:pPr>
      <w:r>
        <w:rPr/>
        <w:t xml:space="preserve">Dan de priesters en de Levieten. Zij krijgen geen stuk land — en er staat iets moois bij: ‘de HEERE is hun erfdeel’ (18:2). Hun draagkracht ligt niet in bezit, maar in God zelf. Ze ontvangen van het volk, en dat is niet omdat ze hóger staan of láger — het is omdat God hen apart heeft gezet om in Zijn naam te dienen. Weet je nog wanneer bleek dat ze te vertrouwen waren? Toen het volk het gouden kalf maakte, was er één stam die niet meedeed. Zo hebben ze aan God laten zien dat op hen te bouwen viel. En God draagt op Zijn beurt voor hén zorg: ook zij mogen een evenredig deel ontvangen.</w:t>
      </w:r>
    </w:p>
    <w:p>
      <w:pPr>
        <w:pStyle w:val="Heading2"/>
        <w:spacing w:lineRule="auto"/>
      </w:pPr>
      <w:r>
        <w:rPr/>
        <w:t xml:space="preserve">Op God gericht, of op jezelf?</w:t>
      </w:r>
    </w:p>
    <w:p>
      <w:pPr>
        <w:spacing w:lineRule="auto"/>
      </w:pPr>
      <w:r>
        <w:rPr/>
        <w:t xml:space="preserve">En dan komt er een streng stuk: geen waarzeggerij, geen dodenbezwering, geen wichelarij — niet doen zoals de volken, want dat is voor de HEERE een gruwel. Nu wil ik hier heel precies zijn, want het is makkelijk om dit verkeerd te horen. Het gaat niet om de hándeling op zichzelf. Veel dingen die met je lichaam of je creativiteit te maken hebben, zijn juist góéde gaven van God, om in Zijn weg te gebruiken — schrijven dat heelt, muziek, beweging, ademhaling, een creatieve uiting. Op zichzelf is daar niets mis mee.</w:t>
      </w:r>
    </w:p>
    <w:p>
      <w:pPr>
        <w:spacing w:lineRule="auto"/>
      </w:pPr>
      <w:r>
        <w:rPr/>
        <w:t xml:space="preserve">Het gaat mis op één punt: wanneer de creativiteit, of de techniek, of het líjf zélf het middelpunt wordt — wanneer ik met mezelf bezig ben in plaats van met Hem. Dat is precies het kenmerk van al die verboden dingen: het zíjn geestelijk lijkende handelingen, máár zonder God, gericht op het zelf. En het bevrijdende is de andere kant: God is onze bedding, Hij is het die ons dráagt. Hij heeft ons lichaam zelf gemaakt — juist zódat we Hem kunnen dienen met hart en ziel en lichaam en alles wat in ons is. Dus de vraag is niet ‘mag ik iets met mijn lichaam doen?’, máár: is het op God gericht, of op mezelf?</w:t>
      </w:r>
    </w:p>
    <w:p>
      <w:pPr>
        <w:spacing w:lineRule="auto"/>
      </w:pPr>
      <w:r>
        <w:rPr/>
        <w:t xml:space="preserve">Daarom staat er: </w:t>
      </w:r>
      <w:r>
        <w:rPr/>
        <w:t xml:space="preserve">‘oprecht zult gij zijn voor de HEERE, uw God’</w:t>
      </w:r>
      <w:r>
        <w:rPr/>
        <w:t xml:space="preserve"> (18:13). Tamim — heel, ongedeeld. We moeten God recht in de ogen kunnen kijken, met niets ertussen. En al die verboden dingen zetten juist íets tussen God en ons in. God gaf maar één Middelaar: Yeshua. Door Him ontvangen we, door Him leren we alles op de Vader te richten — en dan hebben we die andere dingen niet nodig.</w:t>
      </w:r>
    </w:p>
    <w:p>
      <w:pPr>
        <w:pStyle w:val="Heading2"/>
        <w:spacing w:lineRule="auto"/>
      </w:pPr>
      <w:r>
        <w:rPr/>
        <w:t xml:space="preserve">Ook wie voor God spreekt, wordt getoetst</w:t>
      </w:r>
    </w:p>
    <w:p>
      <w:pPr>
        <w:spacing w:lineRule="auto"/>
      </w:pPr>
      <w:r>
        <w:rPr/>
        <w:t xml:space="preserve">En dan de profeet. Een profeet uit je eigen midden, uit je broeders, zal God doen opstaan — naar hem moet je luisteren. Mozes zegt het, en die belofte wijst vooruit naar de Heere Jezus. Máár er zijn er ook die zéggen dat ze profeet zijn, en in Gods naam iets spreken wat Hij niet gaf. Hoe herken je dat? God geeft je een nuchtere toets in handen:</w:t>
      </w:r>
    </w:p>
    <w:p>
      <w:pPr>
        <w:ind w:left="284"/>
        <w:jc w:val="both"/>
        <w:spacing w:lineRule="auto"/>
      </w:pPr>
      <w:r>
        <w:rPr/>
        <w:t xml:space="preserve">‘Wanneer die profeet spreekt in de naam van de HEERE, en het woord komt niet uit — dan is dat een woord dat de HEERE niet gesproken heeft; in overmoed heeft de profeet het gesproken.’ — Deuteronomium 18:22</w:t>
      </w:r>
    </w:p>
    <w:p>
      <w:pPr>
        <w:spacing w:lineRule="auto"/>
      </w:pPr>
      <w:r>
        <w:rPr/>
        <w:t xml:space="preserve">Niet: hoe indrukwekkend klinkt hij? Máár: kómt het uit, komt het van Hém? Zelfs de profeet mag zich laten toetsen. Dat ontkracht hem niet; het ijkt hem. En daar is het woord weer — overmoed: gezag dat in de naam van God spreekt wat God niet zei.</w:t>
      </w:r>
    </w:p>
    <w:p>
      <w:pPr>
        <w:pStyle w:val="Heading2"/>
        <w:spacing w:lineRule="auto"/>
      </w:pPr>
      <w:r>
        <w:rPr/>
        <w:t xml:space="preserve">Een God van leven, tot in de oorlog toe</w:t>
      </w:r>
    </w:p>
    <w:p>
      <w:pPr>
        <w:spacing w:lineRule="auto"/>
      </w:pPr>
      <w:r>
        <w:rPr/>
        <w:t xml:space="preserve">En nu gebeurt er iets moois, juist op de donkerste plek: de oorlog. Je zou denken dat daar alleen de dood regeert. Máár God legt er wetten neer die het léven beschermen. Wie een nieuw huis heeft gebouwd en er nog niet in woont, wie een wijngaard heeft geplant en er nog niet van at, wie in ondertrouw is — die mag náár huis. God eert de menselijke arbeid en de vreugde van de oogst; Hij wil niet dat de cyclus van bouwen en planten en oogsten wordt afgebroken door het geweld. En zelfs de bómen blijven staan:</w:t>
      </w:r>
    </w:p>
    <w:p>
      <w:pPr>
        <w:ind w:left="284"/>
        <w:jc w:val="both"/>
        <w:spacing w:lineRule="auto"/>
      </w:pPr>
      <w:r>
        <w:rPr/>
        <w:t xml:space="preserve">‘Is dan het veld een mens, dat het voor u zou moeten vluchten? … die bomen moogt gij niet vellen.’ — Deuteronomium 20:19</w:t>
      </w:r>
    </w:p>
    <w:p>
      <w:pPr>
        <w:spacing w:lineRule="auto"/>
      </w:pPr>
      <w:r>
        <w:rPr/>
        <w:t xml:space="preserve">Het landschap is geen vijand. De vruchtbomen leveren voedsel en overleven de oorlog; ze overstijgen het tijdelijke conflict. Dat is rentmeesterschap, al helemaal aan het begin. Want het land is niet eens écht van ons — God zegt het zelf: </w:t>
      </w:r>
      <w:r>
        <w:rPr/>
        <w:t xml:space="preserve">‘het land is van Míj; jullie zijn slechts vreemdelingen en bijwoners bij Mij’</w:t>
      </w:r>
      <w:r>
        <w:rPr/>
        <w:t xml:space="preserve"> (Lev. 25:23). We krijgen het in bruikleen. En het mooiste beeld van vrede in heel de Schrift is dan ook niet bezit of macht, maar dit: dat ieder mens veilig zit ‘onder zijn eigen wijnstok en zijn eigen vijgenboom’ (Micha 4:4).</w:t>
      </w:r>
    </w:p>
    <w:p>
      <w:pPr>
        <w:spacing w:lineRule="auto"/>
      </w:pPr>
      <w:r>
        <w:rPr/>
        <w:t xml:space="preserve">En trek die wijngaard-lijn eens door, want die loopt van voren naar achteren door de hele Bijbel. Helemaal aan het begin plantte God zelf een hof, en zette de mens erin om die te ‘bewerken en te bewaren’ — met overvloedige vrucht om van te genieten. Dan, bij de profeten, wordt Israël zélf Gods wijngaard: Hij spitte de grond om, plantte de beste stok, en verwachtte goede druiven — en weet je wat Hij zocht? </w:t>
      </w:r>
      <w:r>
        <w:rPr/>
        <w:t xml:space="preserve">Recht en gerechtigheid</w:t>
      </w:r>
      <w:r>
        <w:rPr/>
        <w:t xml:space="preserve"> (Jesaja 5). Daar is het weer, tzedek, van de eerste zin van deze parasja. En dan komt Jezus, en Hij zegt: ‘Ik ben de ware Wijnstok’ (Joh. 15). Hij herstelt wat in de hof brak. Verbonden met Hém dragen en ontvangen we weer de vrucht die van Eden af bedoeld was. Zie je hoe het één verhaal is — schepping, wet, en herstel in Christus — en dat God, zelfs tegen de achtergrond van de dood, bovenal een God van leven en blijvende voorziening blijkt?</w:t>
      </w:r>
    </w:p>
    <w:p>
      <w:pPr>
        <w:pStyle w:val="Heading2"/>
        <w:spacing w:lineRule="auto"/>
      </w:pPr>
      <w:r>
        <w:rPr/>
        <w:t xml:space="preserve">De handen die gewassen worden</w:t>
      </w:r>
    </w:p>
    <w:p>
      <w:pPr>
        <w:spacing w:lineRule="auto"/>
      </w:pPr>
      <w:r>
        <w:rPr/>
        <w:t xml:space="preserve">En helemaal aan het eind, bij een moord waarvan niemand de dader kent. Dan komen de oudsten van de dichtstbijzijnde stad, en wassen hun handen boven een offer: </w:t>
      </w:r>
      <w:r>
        <w:rPr/>
        <w:t xml:space="preserve">‘onze handen hebben dit bloed niet vergoten, en onze ogen hebben het niet gezien’</w:t>
      </w:r>
      <w:r>
        <w:rPr/>
        <w:t xml:space="preserve"> (21:7). Ze wuiven het niet weg — ze drágen de verantwoordelijkheid, ook voor bloed dat niet aan hun handen kleeft. Er moet een priester bij komen, iemand die tussen God en de mensen in staat, om de zaak te wegen. God wil niet dat er onschuldig bloed op het volk blijft liggen. Zelfs het onopgeloste laat Hij niet zomaar liggen.</w:t>
      </w:r>
    </w:p>
    <w:p>
      <w:pPr>
        <w:pStyle w:val="Heading2"/>
        <w:spacing w:lineRule="auto"/>
      </w:pPr>
      <w:r>
        <w:rPr/>
        <w:t xml:space="preserve">Ontvangen — of grijpen</w:t>
      </w:r>
    </w:p>
    <w:p>
      <w:pPr>
        <w:spacing w:lineRule="auto"/>
      </w:pPr>
      <w:r>
        <w:rPr/>
        <w:t xml:space="preserve">Leg het nu naast elkaar, want hier komt alles samen. Al dit gezag is gégeven: God kiest de koning, verwekt de profeet, is het erfdeel van de priester. Niemand heeft zijn plaats aan zichzelf te danken. En juist ómdat het gegeven is, is het niet absoluut — het buigt onder het Woord en laat zich toetsen. De koning wiens hart zich verheft, de profeet die spreekt wat God niet zei: dat is telkens gezag dat zich lósmaakt van de bron. Gegrepen gezag.</w:t>
      </w:r>
    </w:p>
    <w:p>
      <w:pPr>
        <w:spacing w:lineRule="auto"/>
      </w:pPr>
      <w:r>
        <w:rPr/>
        <w:t xml:space="preserve">Denk aan Jakob en Ezau. Het eerstgeboorterecht was een gáve. Ezau kon het ontvangen — máár hij verachtte het. En Jakob, aan wie het eerst niet gegeven was, verlangde er juist naar en pakte het met beide handen aan. Zo geeft God ons de macht om kinderen van God te wórden, om deel te krijgen aan wat Híj geeft. Máár let op hóe je iets ontvangt. Je kunt zeggen: nu is het van míj, ik heb het gepakt, niemand mag er nog aankomen. Zoals een kind op een verjaardag dat met zijn cadeau wegrent en het voor zichzelf houdt — dan is het hele idee van een cadeau weg, en wordt het een last. Ontvangen is iets anders dan grijpen. Het geschenk blijft een geschenk zolang het uit Zijn hand blijft komen.</w:t>
      </w:r>
    </w:p>
    <w:p>
      <w:pPr>
        <w:pStyle w:val="Heading2"/>
        <w:spacing w:lineRule="auto"/>
      </w:pPr>
      <w:r>
        <w:rPr/>
        <w:t xml:space="preserve">Boven alle poorten</w:t>
      </w:r>
    </w:p>
    <w:p>
      <w:pPr>
        <w:spacing w:lineRule="auto"/>
      </w:pPr>
      <w:r>
        <w:rPr/>
        <w:t xml:space="preserve">En dan tilt Jesaja, in de haftara, je blik omhoog, over al die brooze menselijke ambten heen. Want rechters falen, koningen verheffen hun hart, profeten vergissen zich. Máár luister naar wat de wachters op de muren uitroepen:</w:t>
      </w:r>
    </w:p>
    <w:p>
      <w:pPr>
        <w:ind w:left="284"/>
        <w:jc w:val="both"/>
        <w:spacing w:lineRule="auto"/>
      </w:pPr>
      <w:r>
        <w:rPr/>
        <w:t xml:space="preserve">‘Hoe lieflijk zijn op de bergen de voeten van de vreugdebode … die tot Sion zegt: uw God regeert!’ — Jesaja 52:7</w:t>
      </w:r>
    </w:p>
    <w:p>
      <w:pPr>
        <w:spacing w:lineRule="auto"/>
      </w:pPr>
      <w:r>
        <w:rPr/>
        <w:t xml:space="preserve">Uw God regeert. Dáár rust het op. Onder alle poorten, boven alle rechters en koningen, staat de Één die werkelijk regeert. Alle menselijk gezag is maar geleend — en dat is geen schrikbeeld, dat is een troost. Want de laatste rechter is geen mens.</w:t>
      </w:r>
    </w:p>
    <w:p>
      <w:pPr>
        <w:pStyle w:val="Heading2"/>
        <w:spacing w:lineRule="auto"/>
      </w:pPr>
      <w:r>
        <w:rPr/>
        <w:t xml:space="preserve">Het gezag dat niet uit Zichzelf sprak</w:t>
      </w:r>
    </w:p>
    <w:p>
      <w:pPr>
        <w:spacing w:lineRule="auto"/>
      </w:pPr>
      <w:r>
        <w:rPr/>
        <w:t xml:space="preserve">En dan het evangelie. Jezus, vlak voor Zijn lijden. Filippus vraagt: toon ons de Vader. En Jezus antwoordt:</w:t>
      </w:r>
    </w:p>
    <w:p>
      <w:pPr>
        <w:ind w:left="284"/>
        <w:jc w:val="both"/>
        <w:spacing w:lineRule="auto"/>
      </w:pPr>
      <w:r>
        <w:rPr/>
        <w:t xml:space="preserve">‘Wie Mij gezien heeft, heeft de Vader gezien … de woorden die Ik tot u spreek, spreek Ik niet uit Mijzelf; de Vader die in Mij blijft, die doet de werken.’ — Johannes 14:9–10</w:t>
      </w:r>
    </w:p>
    <w:p>
      <w:pPr>
        <w:spacing w:lineRule="auto"/>
      </w:pPr>
      <w:r>
        <w:rPr/>
        <w:t xml:space="preserve">‘Ik spreek niet uit Mijzelf.’ Daar staat het in de volmaakte vorm. Jezus is de profeet zoals Mozes die God beloofde, én Hij belichaamt wat de koning met de wet op zijn schoot in beeld bracht: gezag dat helemaal óntvangen is, dat niets uit zichzelf doet, dat volledig onder de Vader staat. De machtigste, én de meest gehoorzame. En daarom kan Hij zeggen: wie Míj ziet, ziet de Vader. Het is die ene Middelaar, met niets ertussen. En dan de troost, zo dicht bij Jesaja: </w:t>
      </w:r>
      <w:r>
        <w:rPr/>
        <w:t xml:space="preserve">‘Ik zal u niet als wezen achterlaten’</w:t>
      </w:r>
      <w:r>
        <w:rPr/>
        <w:t xml:space="preserve"> (14:18). De Koning die werkelijk regeert, laat je niet alleen.</w:t>
      </w:r>
    </w:p>
    <w:p>
      <w:pPr>
        <w:pStyle w:val="Heading2"/>
        <w:spacing w:lineRule="auto"/>
      </w:pPr>
      <w:r>
        <w:rPr/>
        <w:t xml:space="preserve">Laat het zich nog toetsen?</w:t>
      </w:r>
    </w:p>
    <w:p>
      <w:pPr>
        <w:spacing w:lineRule="auto"/>
      </w:pPr>
      <w:r>
        <w:rPr/>
        <w:t xml:space="preserve">Laat ik het bij onszelf brengen. We hebben allemaal een stukje gezag — over ons werk, in ons gezin, over onze mening, over onszelf. En de vraag van deze week is niet: héb ik gezag? De vraag is: laat mijn gezag zich nog tóetsen? Draag ik mijn hoekje als iemand die het van zichzelf heeft — of als iemand die het gekrégen heeft, en er dus onder blijft, met het Woord op zijn schoot?</w:t>
      </w:r>
    </w:p>
    <w:p>
      <w:pPr>
        <w:spacing w:lineRule="auto"/>
      </w:pPr>
      <w:r>
        <w:rPr/>
        <w:t xml:space="preserve">Het bevrijdende is: je hoeft de macht niet te gríjpen. Dat is nu juist de last die de parasja van je afneemt. Je hoeft je hart niet te verheffen om iemand te zijn. De Koning die werkelijk regeert is gekomen als een broeder, met de wil van de Vader in plaats van de Zijne, en Hij toont ons wie God is. En zoals Hij van Eden af de wijngaard bedoelde: verbonden met Hém mag je weer vrucht drágen en ontvángen.</w:t>
      </w:r>
    </w:p>
    <w:p>
      <w:pPr>
        <w:spacing w:lineRule="auto"/>
      </w:pPr>
      <w:r>
        <w:rPr/>
        <w:t xml:space="preserve">Denk er deze week eens over na, heel praktisch: waar oefen ik gezag uit — hoe klein ook — dat zich niet meer laat corrigeren? En wat zou er veranderen als ik daar de wet weer op mijn schoot nam, als een broeder onder broeders, voor het aangezicht van de Één die werkelijk regeert? Lees het na, en zeg me gerust waar jij het anders zou leggen dan ik.</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