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Studieblad</w:t>
      </w:r>
    </w:p>
    <w:p>
      <w:pPr>
        <w:pStyle w:val="Heading1"/>
        <w:spacing w:lineRule="auto"/>
      </w:pPr>
      <w:r>
        <w:rPr/>
        <w:t xml:space="preserve">De God die gedenkt en roept</w:t>
      </w:r>
    </w:p>
    <w:p>
      <w:pPr>
        <w:spacing w:lineRule="auto"/>
      </w:pPr>
      <w:r>
        <w:rPr>
          <w:b/>
        </w:rPr>
        <w:t xml:space="preserve">Tora:</w:t>
      </w:r>
      <w:r>
        <w:rPr/>
        <w:t xml:space="preserve"> Genesis 21:1–34</w:t>
      </w:r>
    </w:p>
    <w:p>
      <w:pPr>
        <w:spacing w:lineRule="auto"/>
      </w:pPr>
      <w:r>
        <w:rPr/>
        <w:t xml:space="preserve">  ·  </w:t>
      </w:r>
    </w:p>
    <w:p>
      <w:pPr>
        <w:spacing w:lineRule="auto"/>
      </w:pPr>
      <w:r>
        <w:rPr>
          <w:b/>
        </w:rPr>
        <w:t xml:space="preserve">Haftara:</w:t>
      </w:r>
      <w:r>
        <w:rPr/>
        <w:t xml:space="preserve"> 1 Samuël 1:1–2:10</w:t>
      </w:r>
    </w:p>
    <w:p>
      <w:pPr>
        <w:spacing w:lineRule="auto"/>
      </w:pPr>
      <w:r>
        <w:rPr/>
        <w:t xml:space="preserve">  ·  </w:t>
      </w:r>
    </w:p>
    <w:p>
      <w:pPr>
        <w:spacing w:lineRule="auto"/>
      </w:pPr>
      <w:r>
        <w:rPr>
          <w:b/>
        </w:rPr>
        <w:t xml:space="preserve">Evangelie:</w:t>
      </w:r>
      <w:r>
        <w:rPr/>
        <w:t xml:space="preserve"> Mattheüs 24:29–36</w:t>
      </w:r>
    </w:p>
    <w:p>
      <w:pPr>
        <w:spacing w:lineRule="auto"/>
      </w:pPr>
      <w:r>
        <w:rPr/>
        <w:t xml:space="preserve">Op Jom Teruah gedenkt God: Hij bezoekt Sara (Gen. 21:1) en gedenkt Hanna (1 Sam. 1:19) — de klassieke grond waarom juist deze teksten de lezingen van de dag zijn. Het bazuingeschal roept wakker om te horen: wat wij ontvingen is ons toevertrouwd en draagt een roeping; teruggeven is de wakkere daad van wie weet van Wie het kwam.</w:t>
      </w:r>
    </w:p>
    <w:p>
      <w:pPr>
        <w:pStyle w:val="Heading2"/>
        <w:spacing w:lineRule="auto"/>
      </w:pPr>
      <w:r>
        <w:rPr/>
        <w:t xml:space="preserve">§0 Waarnemingsronde</w:t>
      </w:r>
    </w:p>
    <w:p>
      <w:pPr>
        <w:pStyle w:val="Heading3"/>
        <w:spacing w:lineRule="auto"/>
      </w:pPr>
      <w:r>
        <w:rPr/>
        <w:t xml:space="preserve">0.1 Blinde waarneming</w:t>
      </w:r>
    </w:p>
    <w:p>
      <w:pPr>
        <w:spacing w:lineRule="auto"/>
      </w:pPr>
      <w:r>
        <w:rPr/>
        <w:t xml:space="preserve">Genesis 21 en 1 Samuël 1 openen beide met God die de onvruchtbare vrouw bezoekt en gedenkt en een zoon geeft: „de HEERE bezocht Sara” (21:1) en „de HEERE gedacht aan haar” (1 Sam. 1:19). Het is overal geluid en horen: Sara zegt „al die het hoort zal met mij lachen” (21:6); „God hoorde de stem van de jongen” (21:17); Ismaël betekent „God hoort”; Hanna bidt met bewegende lippen die Eli niet hoort, maar God hoort (1 Sam. 1:13). De dag zelf heet „een gedachtenis door bazuingeschal” (Lev. 23:24). En Mattheüs 24 eindigt met een grote bazuin, het verzamelen van de uitverkorenen, en „van dat uur weet niemand dan de Vader” (24:36).</w:t>
      </w:r>
    </w:p>
    <w:p>
      <w:pPr>
        <w:pStyle w:val="Heading3"/>
        <w:spacing w:lineRule="auto"/>
      </w:pPr>
      <w:r>
        <w:rPr/>
        <w:t xml:space="preserve">0.2 De vier assen als open vraag</w:t>
      </w:r>
    </w:p>
    <w:p>
      <w:pPr>
        <w:spacing w:lineRule="auto"/>
      </w:pPr>
      <w:r>
        <w:rPr/>
        <w:t xml:space="preserve">Valt het gewicht op wat God doet (Bron: gedenken, geven, horen), op de menselijke respons (Wil: wakker worden, horen, teruggeven), op de heelheid tussen binnen en buiten (Coherentie), of op de beweging door de tijd (Traject: belofte → vervulling → koningschap → laatste bazuin)? Nog niet beslissen; eerst de blokken lezen.</w:t>
      </w:r>
    </w:p>
    <w:p>
      <w:pPr>
        <w:pStyle w:val="Heading3"/>
        <w:spacing w:lineRule="auto"/>
      </w:pPr>
      <w:r>
        <w:rPr/>
        <w:t xml:space="preserve">0.3 Afgelezen zwaartepunt</w:t>
      </w:r>
    </w:p>
    <w:p>
      <w:pPr>
        <w:spacing w:lineRule="auto"/>
      </w:pPr>
      <w:r>
        <w:rPr/>
        <w:t xml:space="preserve">🟢 Bron draagt zichtbaar — God gedenkt, hoort en geeft. Maar de dag heet teruah: het geluid voegt een imperatief toe, wakker worden om te horen, en Hanna's teruggeven én haar lied maken de respons actief, niet passief. Zwaartepunt: de God die gedenkt en roept, en ons wakker maakt om te horen.</w:t>
      </w:r>
    </w:p>
    <w:p>
      <w:pPr>
        <w:pStyle w:val="Heading3"/>
        <w:spacing w:lineRule="auto"/>
      </w:pPr>
      <w:r>
        <w:rPr/>
        <w:t xml:space="preserve">0.4 Framing-toets</w:t>
      </w:r>
    </w:p>
    <w:p>
      <w:pPr>
        <w:spacing w:lineRule="auto"/>
      </w:pPr>
      <w:r>
        <w:rPr/>
        <w:t xml:space="preserve">🔴 Bewaakt. De weekreflex landt op ontvangen/toevertrouwen (overgave), en er is echte grond: alles is gave (21:1; 1 Sam. 1:20). Máár de dag is teruah — geluid dat wekt, alarm, kroningsgeschal — en Hanna's teruggeven is een gelófte-daad, geen vermoeide overgave; haar lied is fel, een lied van omkering. De toets houdt „ontvangen” daarom niet vast als eindpunt, maar als grond onder een wakker, hoorbaar antwoord. De reflex zelf blijft onder bewaking.</w:t>
      </w:r>
    </w:p>
    <w:p>
      <w:pPr>
        <w:pStyle w:val="Heading2"/>
        <w:spacing w:lineRule="auto"/>
      </w:pPr>
      <w:r>
        <w:rPr/>
        <w:t xml:space="preserve">§1 De draad</w:t>
      </w:r>
    </w:p>
    <w:p>
      <w:pPr>
        <w:spacing w:lineRule="auto"/>
      </w:pPr>
      <w:r>
        <w:rPr/>
        <w:t xml:space="preserve">Het geluid gaat vooraf aan het verstaan. God gedenkt — Hij bezoekt, hoort en geeft — en dat geluid roept wakker uit „alles is van mij”. Wat je ontving is je toevertrouwd en draagt een roeping; teruggeven is de wakkere daad van wie weet van Wie het kwam.</w:t>
      </w:r>
    </w:p>
    <w:p>
      <w:pPr>
        <w:pStyle w:val="Heading2"/>
        <w:spacing w:lineRule="auto"/>
      </w:pPr>
      <w:r>
        <w:rPr/>
        <w:t xml:space="preserve">§2 Peshat per blok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Tekstblok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staat er? (peshat)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Sleutelwoord / contrast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vraag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 21:1–8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HEERE bezoekt (pakad) Sara zoals gezegd; Izak geboren, besneden, gespeend; Sara: „God heeft mij doen lachen”.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pakad · lachen/horen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staat „zoals Hij gezegd had” tweemaal vooraan?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 21:9–21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Sara ziet Ismaël metsachek, eist wegzending; God: „hoor naar haar stem”; in de woestijn „hoorde God de stem van de jongen”.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metsachek · God hoort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Wie wordt hier gehoord — en door wie?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 21:22–34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Verbond met Abimelech te Berseba; een put; een eed; Abraham woont in het land.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eed · put (be'er)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doet dit rustige slot na de scherpte van 21:9–21?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Sam. 1:1–20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Hanna onvruchtbaar; jaarlijkse gang naar Silo; Peninna; stil gebed; Eli's misverstand; „de HEERE gedacht aan haar”; Samuel („van de HEERE gebeden”).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zachar · in haar hart bidden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hoort de priester haar níet, en God wel?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Sam. 1:21–2:10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Hanna geeft Samuel terug in de dienst van de HEERE; haar lofzang: omkering, koningschap, „de hoorn van Zijn gezalfde”.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teruggeven · omkering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Hoe wordt een privé-verhoring een koningslied?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Matt. 24:29–36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Tekenen; de Mensenzoon; „een bazuin van groot geluid”; verzamelen uit vier windstreken; „van dat uur weet niemand dan de Vader”.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bazuin · het onbekende uur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Hoe verhoudt het geklank zich tot het niet-weten van het uur?</w:t>
            </w:r>
          </w:p>
        </w:tc>
      </w:tr>
    </w:tbl>
    <w:p>
      <w:pPr>
        <w:spacing w:lineRule="auto"/>
      </w:pPr>
      <w:r>
        <w:rPr/>
      </w:r>
    </w:p>
    <w:p>
      <w:pPr>
        <w:pStyle w:val="Heading2"/>
        <w:spacing w:lineRule="auto"/>
      </w:pPr>
      <w:r>
        <w:rPr/>
        <w:t xml:space="preserve">§3 Twee dragende assen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Tekstankers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anomalie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21:1,17 · 1 Sam. 1:19–20 · 2:21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Dragend. God bezoekt, gedenkt, hoort en geeft; het leven wordt geschonken, niet gepresteerd.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het lange uitstel tussen belofte en vervulling?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Lev. 23:24 (teruah) · 1 Sam. 1:11 (gelofte) · 1:27–28 (teruggeven) · Matt. 24:42 (waak)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Dragend, tweede pool. Wakker worden en horen; de gelofte en het teruggeven als wakkere daad; waken met open handen.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 slaat wakker-antwoord om in grijpen („God heeft mijn hulp nodig”, Ismaël)?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21:12–13 (nageslacht) · 1 Sam. 2:10 (koning) · Matt. 24:31 (laatste bazuin)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Stijgend, dienend. Van belofte naar koningschap naar het bijeenroepen aan het einde.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dit vooruitwijzing of eigen kern?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Coherentie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21:6 (lachen dat rondgaat) · 1 Sam. 1:13 (hart en lippen)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Dun. Binnen en buiten sluiten aan (het hart dat bidt, de lippen die bewegen), maar niet vooropgesteld.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2"/>
        <w:spacing w:lineRule="auto"/>
      </w:pPr>
      <w:r>
        <w:rPr/>
        <w:t xml:space="preserve">§4 Bronnenronde</w:t>
      </w:r>
    </w:p>
    <w:p>
      <w:pPr>
        <w:spacing w:lineRule="auto"/>
      </w:pPr>
      <w:r>
        <w:rPr/>
        <w:t xml:space="preserve">Vaste volgorde. Van de Giessen dekt nu ook Genesis (1–25), dus de pre-peshat-getuige is voor de parasja beschikbaar; voor de haftara (1 Samuël) ontbreekt hij nog. De overige getuigen zijn geverifieerd via Sefaria.</w:t>
      </w:r>
    </w:p>
    <w:p>
      <w:pPr>
        <w:spacing w:lineRule="auto"/>
      </w:pPr>
      <w:r>
        <w:rPr/>
        <w:t xml:space="preserve">🟢 </w:t>
      </w:r>
      <w:r>
        <w:rPr>
          <w:b/>
        </w:rPr>
        <w:t xml:space="preserve">Van de Giessen (pre-peshat, Genesis).</w:t>
      </w:r>
      <w:r>
        <w:rPr/>
        <w:t xml:space="preserve"> Bij 21:1 is pakad „bezoeken / aandacht geven” — positief: Sara het langverwachte kind geven (vgl. Ex. 3:16), terwijl hetzelfde woord negatief „straffend bezoeken” kan zijn (1 Sam. 15:2). Bij 21:6 loopt het woordspel tsachaq (lachen) door „al die het hóórt” (haššomea): lachen en horen in één vers. Bij 21:9 geeft hij voor metsachek de nuchtere peshat „spelen, plagen, pesten” (Piel-participium) — niet afgoderij; dat houdt Rasji's lezing als derasja apart. En hij noteert de tekstkritische laag: het gedeelte komt voor in 4Q365 (Qumran), met diverse MT↔SP-varianten (vv. 7, 8, 10, 13, 14) 🟡. Bij 21:17 bevestigt de tekst „God hoorde de stem van de jongen” — het hoor-motief staat er zelf.</w:t>
      </w:r>
    </w:p>
    <w:p>
      <w:pPr>
        <w:spacing w:lineRule="auto"/>
      </w:pPr>
      <w:r>
        <w:rPr/>
        <w:t xml:space="preserve">🟢 </w:t>
      </w:r>
      <w:r>
        <w:rPr>
          <w:b/>
        </w:rPr>
        <w:t xml:space="preserve">Rosj Hasjana 10b–11a (Bavli).</w:t>
      </w:r>
      <w:r>
        <w:rPr/>
        <w:t xml:space="preserve"> Via gezeira sjawa worden Sara en Hanna op Rosj Hasjana „bezocht/gedacht”: pakad (Gen. 21:1) ↔ pakad (1 Sam. 2:21); zachar (Gen. 30:22, Rachel) ↔ zachar (1 Sam. 1:19, Hanna); gekoppeld aan Lev. 23:24, „een gedachtenis (zikaron) met bazuingeschal”. Dit is de klassieke reden dat juist déze twee teksten de lezingen van de dag zijn — het gedenken is geen import maar de grond van de dag.</w:t>
      </w:r>
    </w:p>
    <w:p>
      <w:pPr>
        <w:spacing w:lineRule="auto"/>
      </w:pPr>
      <w:r>
        <w:rPr/>
        <w:t xml:space="preserve">🟢 </w:t>
      </w:r>
      <w:r>
        <w:rPr>
          <w:b/>
        </w:rPr>
        <w:t xml:space="preserve">Rosj Hasjana 11a (Moesaf).</w:t>
      </w:r>
      <w:r>
        <w:rPr/>
        <w:t xml:space="preserve"> De negen zegeningen van de Moesaf corresponderen met de negen Godsnamen in Hanna's lied (1 Sam. 2:10) — de traditie verbindt Hanna's lofzang met de koningsklank van de dag.</w:t>
      </w:r>
    </w:p>
    <w:p>
      <w:pPr>
        <w:spacing w:lineRule="auto"/>
      </w:pPr>
      <w:r>
        <w:rPr/>
        <w:t xml:space="preserve">🟡 </w:t>
      </w:r>
      <w:r>
        <w:rPr>
          <w:b/>
        </w:rPr>
        <w:t xml:space="preserve">Rasji op Genesis 21:9 (metsachek).</w:t>
      </w:r>
      <w:r>
        <w:rPr/>
        <w:t xml:space="preserve"> Rasji leest het scherp: afgoderij (vgl. Ex. 32:6), of ontucht, of bloedvergieten (vgl. 2 Sam. 2:14). De peshat (o.a. Ibn Ezra) houdt het nuchter bij spotten/spelen 🟢. Punt voor de lezing: Sara's eis heeft grond, en teruah heeft ook een scherpe, alarmerende kant.</w:t>
      </w:r>
    </w:p>
    <w:p>
      <w:pPr>
        <w:spacing w:lineRule="auto"/>
      </w:pPr>
      <w:r>
        <w:rPr/>
        <w:t xml:space="preserve">🟢 </w:t>
      </w:r>
      <w:r>
        <w:rPr>
          <w:b/>
        </w:rPr>
        <w:t xml:space="preserve">Tekstueel.</w:t>
      </w:r>
      <w:r>
        <w:rPr/>
        <w:t xml:space="preserve"> Ismaël betekent „God hoort” (El sjama), en 21:17 zegt „God hoorde de stem van de jongen” — het hoor-motief zit ín de parasja. En 1 Sam. 1:13: Hanna „sprak in haar hart, alleen haar lippen bewogen” — God hoort de stem die niemand anders opvangt.</w:t>
      </w:r>
    </w:p>
    <w:p>
      <w:pPr>
        <w:spacing w:lineRule="auto"/>
      </w:pPr>
      <w:r>
        <w:rPr/>
        <w:t xml:space="preserve">⚪ </w:t>
      </w:r>
      <w:r>
        <w:rPr>
          <w:b/>
        </w:rPr>
        <w:t xml:space="preserve">Onkelos</w:t>
      </w:r>
      <w:r>
        <w:rPr/>
        <w:t xml:space="preserve"> op 21:1/21:9: nog te verifiëren (open verificatiepunt).</w:t>
      </w:r>
    </w:p>
    <w:p>
      <w:pPr>
        <w:spacing w:lineRule="auto"/>
      </w:pPr>
      <w:r>
        <w:rPr>
          <w:b/>
        </w:rPr>
        <w:t xml:space="preserve">Revisiepoort.</w:t>
      </w:r>
      <w:r>
        <w:rPr/>
        <w:t xml:space="preserve"> Veranderde de ronde het zwaartepunt? Bevestigend en versterkend: de Talmoedische pakad/zachar-koppeling toont dat „gedenken/horen” de klassieke grond van de dag is, en verschuift het accent weg van louter „ontvangen” naar „God die gedenkt en hoort → wakker worden om te horen”.</w:t>
      </w:r>
    </w:p>
    <w:p>
      <w:pPr>
        <w:pStyle w:val="Heading2"/>
        <w:spacing w:lineRule="auto"/>
      </w:pPr>
      <w:r>
        <w:rPr/>
        <w:t xml:space="preserve">§5 Richtingstoets als horizon</w:t>
      </w:r>
    </w:p>
    <w:p>
      <w:pPr>
        <w:spacing w:lineRule="auto"/>
      </w:pPr>
      <w:r>
        <w:rPr/>
        <w:t xml:space="preserve">🔵 Belijdend. Mattheüs 24 laat het teruah-geklank uitlopen op de laatste bazuin (24:31): de Mensenzoon verzamelt Zijn uitverkorenen; de God die Sara en Hanna gedacht heeft, roept aan het einde Zijn kinderen bijeen — geen naam vergeten. 🔴 Bewaakt: „van dat uur weet niemand dan de Vader” (24:36) houdt het wakker-zijn nuchter — geen datumzetterij, geen krampachtig grijpen, maar waken met open handen. Peshat-guard: Mattheüs 24 bepaalt Genesis/Samuël niet; het is horizon, geen betekenisbepaler.</w:t>
      </w:r>
    </w:p>
    <w:p>
      <w:pPr>
        <w:pStyle w:val="Heading2"/>
        <w:spacing w:lineRule="auto"/>
      </w:pPr>
      <w:r>
        <w:rPr/>
        <w:t xml:space="preserve">§6 Statustabel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God gedenkt/bezoekt/hoort en geeft de zoon (21:1,17; 1 Sam. 1:19–20; 2:21)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Teruah = geluid dat wakker maakt om te horen; het antwoord is wakker, niet passief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Sara en Hanna „gedacht” op Rosj Hasjana via pakad/zachar (RH 10b–11a)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 (geverifieerd)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Moesaf-negen ↔ negen Godsnamen in Hanna's lied (1 Sam. 2:10)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suggestief (liturgisch)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Van de Giessen: pakad „aandacht geven” (21:1); metsachek = spelen/plagen (peshat); 4Q365-variant (21:9)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pre-peshat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Metsachek als afgoderij/ontucht/geweld (Rasji)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suggestief (midrasj)</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Reflex-landing op ontvangen/overgave als eindpunt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bewaking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 laatste bazuin verzamelt in Yeshua (Matt. 24:31)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belijdend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Onkelos-weergave 21:1/21:9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open verificatiepunt</w:t>
            </w:r>
          </w:p>
        </w:tc>
      </w:tr>
    </w:tbl>
    <w:p>
      <w:pPr>
        <w:spacing w:lineRule="auto"/>
      </w:pPr>
      <w:r>
        <w:rPr/>
      </w:r>
    </w:p>
    <w:p>
      <w:pPr>
        <w:pStyle w:val="Heading2"/>
        <w:spacing w:lineRule="auto"/>
      </w:pPr>
      <w:r>
        <w:rPr/>
        <w:t xml:space="preserve">§7 Podcast-vertaalslag</w:t>
      </w:r>
    </w:p>
    <w:p>
      <w:pPr>
        <w:spacing w:lineRule="auto"/>
      </w:pPr>
      <w:r>
        <w:rPr/>
        <w:t xml:space="preserve">Het beeld van de bovenste plank en het aanrecht hoort bij Nitzavim; hier is het beeld anders. Denk aan een geluid dat je 's nachts wakker maakt vóórdat je het begrijpt: een kind schiet niet eerst nadenkend overeind, maar bij het roepen van zijn naam. De bazuin roept eerst; het verstaan komt daarna. Eén fysiek beeld draagt de landing: de gebalde vuist die een open hand wordt.</w:t>
      </w:r>
    </w:p>
    <w:p>
      <w:pPr>
        <w:pStyle w:val="Heading2"/>
        <w:spacing w:lineRule="auto"/>
      </w:pPr>
      <w:r>
        <w:rPr/>
        <w:t xml:space="preserve">§8 Bronverantwoording</w:t>
      </w:r>
    </w:p>
    <w:p>
      <w:pPr>
        <w:spacing w:lineRule="auto"/>
      </w:pPr>
      <w:r>
        <w:rPr/>
        <w:t xml:space="preserve">Van de Giessen, Aantekeningen bij Genesis (1–25): pakad (21:1), tsachaq/horen (21:6), metsachek als „spelen/plagen” (21:9), 4Q365- en MT↔SP-varianten, „God hoorde de stem van de jongen” (21:17) — beschikbaar voor de parasja; voor de haftara (1 Samuël) nog niet. Rosj Hasjana 10b–11a en Rasji op Genesis 21:9 — geverifieerd via Sefaria. Tekstueel: zachar (1 Sam. 1:19), Ismaël = „God hoort”, Hanna's stille gebed (1 Sam. 1:13). Onkelos: nog te verifiëren. Naam: Yeshua. Auteur: Arie Alberts.</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