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Werkblad</w:t>
      </w:r>
    </w:p>
    <w:p>
      <w:pPr>
        <w:pStyle w:val="Heading1"/>
        <w:spacing w:lineRule="auto"/>
      </w:pPr>
      <w:r>
        <w:rPr/>
        <w:t xml:space="preserve">Als regen op het gras</w:t>
      </w:r>
    </w:p>
    <w:p>
      <w:pPr>
        <w:spacing w:lineRule="auto"/>
      </w:pPr>
      <w:r>
        <w:rPr>
          <w:b/>
        </w:rPr>
        <w:t xml:space="preserve">Tora:</w:t>
      </w:r>
      <w:r>
        <w:rPr/>
        <w:t xml:space="preserve"> Deuteronomium 32:1–52</w:t>
      </w:r>
    </w:p>
    <w:p>
      <w:pPr>
        <w:spacing w:lineRule="auto"/>
      </w:pPr>
      <w:r>
        <w:rPr/>
        <w:t xml:space="preserve">  ·  </w:t>
      </w:r>
    </w:p>
    <w:p>
      <w:pPr>
        <w:spacing w:lineRule="auto"/>
      </w:pPr>
      <w:r>
        <w:rPr>
          <w:b/>
        </w:rPr>
        <w:t xml:space="preserve">Haftara:</w:t>
      </w:r>
      <w:r>
        <w:rPr/>
        <w:t xml:space="preserve"> Hosea 14:2–10; Joël 2:15–27</w:t>
      </w:r>
    </w:p>
    <w:p>
      <w:pPr>
        <w:spacing w:lineRule="auto"/>
      </w:pPr>
      <w:r>
        <w:rPr/>
        <w:t xml:space="preserve">  ·  </w:t>
      </w:r>
    </w:p>
    <w:p>
      <w:pPr>
        <w:spacing w:lineRule="auto"/>
      </w:pPr>
      <w:r>
        <w:rPr>
          <w:b/>
        </w:rPr>
        <w:t xml:space="preserve">Evangelie:</w:t>
      </w:r>
      <w:r>
        <w:rPr/>
        <w:t xml:space="preserve"> Mattheüs 18:21–35</w:t>
      </w:r>
    </w:p>
    <w:p>
      <w:pPr>
        <w:spacing w:lineRule="auto"/>
      </w:pPr>
      <w:r>
        <w:rPr/>
        <w:t xml:space="preserve">Mozes’ laatste lied begint met het Woord dat neerdaalt als regen en zet de onveranderlijke Rots tegenover een hart dat in overvloed vergeet van Wie het alles kreeg. Sjabbat Sjoeva (Hosea, Joël) roept tot terugkeer — niet naar zelfgemaakte vrucht maar naar de Bron ervan — en Mattheüs 18 laat zien waar dat vergeten of terugkeren zichtbaar wordt: in hoe je de ander behandelt.</w:t>
      </w:r>
    </w:p>
    <w:p>
      <w:pPr>
        <w:pStyle w:val="Heading2"/>
        <w:spacing w:lineRule="auto"/>
      </w:pPr>
      <w:r>
        <w:rPr/>
        <w:t xml:space="preserve">Zo gebruik je dit blad</w:t>
      </w:r>
    </w:p>
    <w:p>
      <w:pPr>
        <w:spacing w:lineRule="auto"/>
      </w:pPr>
      <w:r>
        <w:rPr/>
        <w:t xml:space="preserve">Werk van boven naar beneden: eerst wáárnemen (A1), dan wégen (A2), dan diagnosticeren (A3), en pas dan samenvatten (A4). De richting — ontvangen of vergeten — is de horizon, niet het vertrekpunt.</w:t>
      </w:r>
    </w:p>
    <w:p>
      <w:pPr>
        <w:pStyle w:val="Heading2"/>
        <w:spacing w:lineRule="auto"/>
      </w:pPr>
      <w:r>
        <w:rPr/>
        <w:t xml:space="preserve">Basisgegevens</w:t>
      </w:r>
    </w:p>
    <w:p>
      <w:pPr>
        <w:spacing w:lineRule="auto"/>
      </w:pPr>
      <w:r>
        <w:rPr/>
        <w:t xml:space="preserve">Parasja / afbakening: Ha'azinu — Deuteronomium 32:1–52. Haftara (Sjabbat Sjoeva): Hosea 14:2–10 + Joël 2:15–27. Flanklezing en status: Mattheüs 18:21–35 — nieuwtestamentische spiegeling, belijdend gebruikt (niet als peshat). Doelgroep: studiegroep / gemeente.</w:t>
      </w:r>
    </w:p>
    <w:p>
      <w:pPr>
        <w:pStyle w:val="Heading2"/>
        <w:spacing w:lineRule="auto"/>
      </w:pPr>
      <w:r>
        <w:rPr/>
        <w:t xml:space="preserve">A1. Tekstblokken en peshat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Tekstblok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staat er? (peshat)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Sleutelwoorden / contrast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vraag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32:1–6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Hemel en aarde als getuigen; regen/dauw; de Rots tegenover een krom geslacht.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getuigen · Rots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Begin ik bij mezelf of bij de Rots?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32:7–14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Gedenk; God vond en droeg als een arend; overvloed.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gedenken · arend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Beschermt God door beweging?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32:15–18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Jesjurun werd vet, vergat de Rots die hem verwekte.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vet · vergeten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Waarom is overvloed gevaarlijk?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32:19–43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Oordeel binnen trouw; „Ik dood en maak levend, Ik genees.”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oordeel · geen andere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Kan oordeel binnen trouw staan?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32:44–52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„Geen leeg woord, uw leven”; Mozes naar Nebo.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geen leeg woord · Nebo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 ik zelf onder het Woord?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Hos. 14 / Joël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Keer terug; neem woorden; dauw; scheur je hart; verzamel allen.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sjoev · hart ↔ kleren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is de vorm, wat het hart?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Matt. 18:21–35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Kwijtgescholden knecht grijpt medeknecht bij de keel.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kwijtschelding · harde hand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 wordt vergeten zichtbaar?</w:t>
            </w:r>
          </w:p>
        </w:tc>
      </w:tr>
    </w:tbl>
    <w:p>
      <w:pPr>
        <w:spacing w:lineRule="auto"/>
      </w:pPr>
      <w:r>
        <w:rPr/>
      </w:r>
    </w:p>
    <w:p>
      <w:pPr>
        <w:pStyle w:val="Heading2"/>
        <w:spacing w:lineRule="auto"/>
      </w:pPr>
      <w:r>
        <w:rPr/>
        <w:t xml:space="preserve">A2. Verbindende hypotheses</w:t>
      </w:r>
    </w:p>
    <w:p>
      <w:pPr>
        <w:spacing w:lineRule="auto"/>
      </w:pPr>
      <w:r>
        <w:rPr/>
        <w:t xml:space="preserve">Hypothese 1 (één as): het zwaartepunt is Bron alleen — alles is gave; de mens ontvangt. De geschiedenis en de respons blijven achtergrond.</w:t>
      </w:r>
    </w:p>
    <w:p>
      <w:pPr>
        <w:spacing w:lineRule="auto"/>
      </w:pPr>
      <w:r>
        <w:rPr/>
        <w:t xml:space="preserve">Hypothese 2 (relatie): het zwaartepunt is Bron ↔ Traject, met een Coherentie-scharnier — de onveranderlijke Rots tegenover een hart dat in de tijd vergeet, en dat vergeten wordt zichtbaar in de omgang met de ander (Matt. 18).</w:t>
      </w:r>
    </w:p>
    <w:p>
      <w:pPr>
        <w:spacing w:lineRule="auto"/>
      </w:pPr>
      <w:r>
        <w:rPr/>
        <w:t xml:space="preserve">Welke verklaart de meeste gegevens met de minste dwang? Hypothese 2. Zij verklaart het geschiedenis-karakter van het lied (Traject), de vet-worden-omslag (32:15), én waarom juist Matt. 18 gekozen is. Hypothese 1 laat de omslag en het evangelie onverklaard.</w:t>
      </w:r>
    </w:p>
    <w:p>
      <w:pPr>
        <w:spacing w:lineRule="auto"/>
      </w:pPr>
      <w:r>
        <w:rPr/>
        <w:t xml:space="preserve">Wat zou deze lezing weerleggen? Als het lied geen omslag kende en Matt. 18 los stond van het vergeten-motief, lag het gewicht bij Bron alleen.</w:t>
      </w:r>
    </w:p>
    <w:p>
      <w:pPr>
        <w:pStyle w:val="Heading2"/>
        <w:spacing w:lineRule="auto"/>
      </w:pPr>
      <w:r>
        <w:rPr/>
        <w:t xml:space="preserve">A3. Vier assen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Tekstankers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anomalie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32:2,4,18,39 · Hos. 14:6,9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Dragend. De Rots geeft, draagt, geneest; „uit Mij uw vrucht”.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Waarom verbergt Hij Zijn aangezicht?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32:7–15 · 32:26–27 · Hos. 14:2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Dragend. Gevonden → vet → vergeten → geoordeeld → teruggekeerd.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Overvloed of woestijn de grootste test?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Coherentie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32:18 · Joël 2:13 · Matt. 18:32–33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Scharnier. Vergeten hart ↔ harde hand.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Dient Matt. 18 het zwaartepunt?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32:1,46–47 · Hos. 14:3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 geen bron: luister, keer terug, neem woorden mee.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 wordt terugkeren project?</w:t>
            </w:r>
          </w:p>
        </w:tc>
      </w:tr>
    </w:tbl>
    <w:p>
      <w:pPr>
        <w:spacing w:lineRule="auto"/>
      </w:pPr>
      <w:r>
        <w:rPr/>
      </w:r>
    </w:p>
    <w:p>
      <w:pPr>
        <w:pStyle w:val="Heading2"/>
        <w:spacing w:lineRule="auto"/>
      </w:pPr>
      <w:r>
        <w:rPr/>
        <w:t xml:space="preserve">A4. Beweging</w:t>
      </w:r>
    </w:p>
    <w:p>
      <w:pPr>
        <w:spacing w:lineRule="auto"/>
      </w:pPr>
      <w:r>
        <w:rPr/>
        <w:t xml:space="preserve">Wat wordt ontmaskerd? Het vergeten van de Rots in overvloed — ontvangen dat omslaat in bezitten — en de verraderlijke afgoderij die God niet afwijst maar praktisch overbodig maakt; zichtbaar in de harde hand tegenover de naaste (Matt. 18).</w:t>
      </w:r>
    </w:p>
    <w:p>
      <w:pPr>
        <w:spacing w:lineRule="auto"/>
      </w:pPr>
      <w:r>
        <w:rPr/>
        <w:t xml:space="preserve">Welk kader zet de tekst ervoor in de plaats? De onveranderlijke Rots die geeft en geneest; tesjoeva als opnieuw kijken naar Hem, en „uit Mij wordt uw vrucht gevonden”.</w:t>
      </w:r>
    </w:p>
    <w:p>
      <w:pPr>
        <w:spacing w:lineRule="auto"/>
      </w:pPr>
      <w:r>
        <w:rPr/>
        <w:t xml:space="preserve">Welke concrete respons en vorming volgen? Luister (ha'azinu); keer terug met woorden (Hosea); scheur je hart, niet je kleren (Joël); en laat de ontvangen kwijtschelding de hand openen naar de ander (Matt. 18).</w:t>
      </w:r>
    </w:p>
    <w:p>
      <w:pPr>
        <w:spacing w:lineRule="auto"/>
      </w:pPr>
      <w:r>
        <w:rPr>
          <w:b/>
        </w:rPr>
        <w:t xml:space="preserve">Kernzin:</w:t>
      </w:r>
      <w:r>
        <w:rPr/>
        <w:t xml:space="preserve"> De Rots verandert niet; het hart vergeet — keer terug, en laat de genade die je ontving de hand openen die je naar je broeder uitstrekt.</w:t>
      </w:r>
    </w:p>
    <w:p>
      <w:pPr>
        <w:spacing w:lineRule="auto"/>
      </w:pPr>
      <w:r>
        <w:rPr>
          <w:b/>
        </w:rPr>
        <w:t xml:space="preserve">Horizon (grond, niet thema van de week):</w:t>
      </w:r>
      <w:r>
        <w:rPr/>
        <w:t xml:space="preserve"> „Ik dood en Ik maak levend, Ik genees” (32:39) en „uit Mij uw vrucht” (Hos. 14:9) — het herstel komt van de Rots, niet van onze prestatie.</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