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Werkblad</w:t>
      </w:r>
    </w:p>
    <w:p>
      <w:pPr>
        <w:pStyle w:val="Heading1"/>
        <w:spacing w:lineRule="auto"/>
      </w:pPr>
      <w:r>
        <w:rPr/>
        <w:t xml:space="preserve">De God die gedenkt en roept</w:t>
      </w:r>
    </w:p>
    <w:p>
      <w:pPr>
        <w:spacing w:lineRule="auto"/>
      </w:pPr>
      <w:r>
        <w:rPr>
          <w:b/>
        </w:rPr>
        <w:t xml:space="preserve">Tora:</w:t>
      </w:r>
      <w:r>
        <w:rPr/>
        <w:t xml:space="preserve"> Genesis 21:1–34</w:t>
      </w:r>
    </w:p>
    <w:p>
      <w:pPr>
        <w:spacing w:lineRule="auto"/>
      </w:pPr>
      <w:r>
        <w:rPr/>
        <w:t xml:space="preserve">  ·  </w:t>
      </w:r>
    </w:p>
    <w:p>
      <w:pPr>
        <w:spacing w:lineRule="auto"/>
      </w:pPr>
      <w:r>
        <w:rPr>
          <w:b/>
        </w:rPr>
        <w:t xml:space="preserve">Haftara:</w:t>
      </w:r>
      <w:r>
        <w:rPr/>
        <w:t xml:space="preserve"> 1 Samuël 1:1–2:10</w:t>
      </w:r>
    </w:p>
    <w:p>
      <w:pPr>
        <w:spacing w:lineRule="auto"/>
      </w:pPr>
      <w:r>
        <w:rPr/>
        <w:t xml:space="preserve">  ·  </w:t>
      </w:r>
    </w:p>
    <w:p>
      <w:pPr>
        <w:spacing w:lineRule="auto"/>
      </w:pPr>
      <w:r>
        <w:rPr>
          <w:b/>
        </w:rPr>
        <w:t xml:space="preserve">Evangelie:</w:t>
      </w:r>
      <w:r>
        <w:rPr/>
        <w:t xml:space="preserve"> Mattheüs 24:29–36</w:t>
      </w:r>
    </w:p>
    <w:p>
      <w:pPr>
        <w:spacing w:lineRule="auto"/>
      </w:pPr>
      <w:r>
        <w:rPr/>
        <w:t xml:space="preserve">Op Jom Teruah gedenkt God: Hij bezoekt Sara (Gen. 21:1) en gedenkt Hanna (1 Sam. 1:19) — de klassieke grond waarom juist deze teksten de lezingen van de dag zijn. Het bazuingeschal roept wakker om te horen: wat wij ontvingen is ons toevertrouwd en draagt een roeping; teruggeven is de wakkere daad van wie weet van Wie het kwam.</w:t>
      </w:r>
    </w:p>
    <w:p>
      <w:pPr>
        <w:pStyle w:val="Heading2"/>
        <w:spacing w:lineRule="auto"/>
      </w:pPr>
      <w:r>
        <w:rPr/>
        <w:t xml:space="preserve">Zo gebruik je dit blad</w:t>
      </w:r>
    </w:p>
    <w:p>
      <w:pPr>
        <w:spacing w:lineRule="auto"/>
      </w:pPr>
      <w:r>
        <w:rPr/>
        <w:t xml:space="preserve">Werk van boven naar beneden: eerst wáárnemen (A1), dan wégen (A2), dan diagnosticeren (A3), en pas dan samenvatten (A4). De richting — ontvangen of wakker geroepen — is de horizon, niet het vertrekpunt.</w:t>
      </w:r>
    </w:p>
    <w:p>
      <w:pPr>
        <w:pStyle w:val="Heading2"/>
        <w:spacing w:lineRule="auto"/>
      </w:pPr>
      <w:r>
        <w:rPr/>
        <w:t xml:space="preserve">Basisgegevens</w:t>
      </w:r>
    </w:p>
    <w:p>
      <w:pPr>
        <w:spacing w:lineRule="auto"/>
      </w:pPr>
      <w:r>
        <w:rPr/>
        <w:t xml:space="preserve">Parasja / afbakening: Jom Teruah — Genesis 21:1–34. Haftara: 1 Samuël 1:1–2:10. Flanklezing en status: Mattheüs 24:29–36 — nieuwtestamentische spiegeling, belijdend gebruikt (niet als peshat). Doelgroep: studiegroep / gemeente.</w:t>
      </w:r>
    </w:p>
    <w:p>
      <w:pPr>
        <w:pStyle w:val="Heading2"/>
        <w:spacing w:lineRule="auto"/>
      </w:pPr>
      <w:r>
        <w:rPr/>
        <w:t xml:space="preserve">A1. Tekstblokken en peshat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Tekstblok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staat er? (peshat)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Sleutelwoorden / contrast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vraag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 21:1–8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HEERE bezoekt Sara zoals gezegd; Izak geboren en besneden; Sara lacht van vreugde.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pakad · lachen dat rondgaat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begint het bij het Woord, niet bij het kind?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 21:9–21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Ismaël metsachek; wegzending; God hoort de stem van de jongen in de woestijn.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metsachek · God hoort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dit troost, alarm, of allebei?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Sam. 1:1–20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Hanna's verdriet, stille gebed, misverstaan door Eli; God gedenkt; Samuel geboren.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zachar · gehoord worden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betekent het dat God hoort wat niemand hoort?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Sam. 1:21–2:10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Hanna geeft Samuel terug; haar lied van omkering en koningschap.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teruggeven · omkering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 teruggeven zwakte of kracht?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Matt. 24:29–36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 Mensenzoon, de grote bazuin, het verzamelen; het uur is verborgen.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bazuin · onbekend uur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Hoe waak je zonder het uur te weten?</w:t>
            </w:r>
          </w:p>
        </w:tc>
      </w:tr>
    </w:tbl>
    <w:p>
      <w:pPr>
        <w:spacing w:lineRule="auto"/>
      </w:pPr>
      <w:r>
        <w:rPr/>
      </w:r>
    </w:p>
    <w:p>
      <w:pPr>
        <w:pStyle w:val="Heading2"/>
        <w:spacing w:lineRule="auto"/>
      </w:pPr>
      <w:r>
        <w:rPr/>
        <w:t xml:space="preserve">A2. Verbindende hypotheses</w:t>
      </w:r>
    </w:p>
    <w:p>
      <w:pPr>
        <w:spacing w:lineRule="auto"/>
      </w:pPr>
      <w:r>
        <w:rPr/>
        <w:t xml:space="preserve">Hypothese 1 (één as): het zwaartepunt is Bron alleen — alles is gave, en de mens ontvangt. De respons blijft achtergrond.</w:t>
      </w:r>
    </w:p>
    <w:p>
      <w:pPr>
        <w:spacing w:lineRule="auto"/>
      </w:pPr>
      <w:r>
        <w:rPr/>
        <w:t xml:space="preserve">Hypothese 2 (relatie): het zwaartepunt is de relatie Bron ↔ Wil — God gedenkt, hoort en geeft, en dáárom wordt de mens wakker geroepen om te horen, te ontvangen én terug te geven.</w:t>
      </w:r>
    </w:p>
    <w:p>
      <w:pPr>
        <w:spacing w:lineRule="auto"/>
      </w:pPr>
      <w:r>
        <w:rPr/>
        <w:t xml:space="preserve">Welke verklaart de meeste gegevens met de minste dwang? Hypothese 2. Zij verklaart waarom de dag teruah heet (een imperatief, geen loutere gave), waarom Hanna een gelófte doet en teruggeeft, en waarom Mattheüs 24 op „waak” uitloopt. Hypothese 1 maakt teruah en het teruggeven onverklaarbaar.</w:t>
      </w:r>
    </w:p>
    <w:p>
      <w:pPr>
        <w:spacing w:lineRule="auto"/>
      </w:pPr>
      <w:r>
        <w:rPr/>
        <w:t xml:space="preserve">Wat zou deze lezing weerleggen? Als teruah puur troost was en Hanna's lied een zoet danklied, zou het gewicht bij Bron alleen liggen.</w:t>
      </w:r>
    </w:p>
    <w:p>
      <w:pPr>
        <w:pStyle w:val="Heading2"/>
        <w:spacing w:lineRule="auto"/>
      </w:pPr>
      <w:r>
        <w:rPr/>
        <w:t xml:space="preserve">A3. Vier assen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Tekstankers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Diagnose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anomalie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21:1,17 · 1 Sam. 1:19–20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God bezoekt, gedenkt, hoort en geeft.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Waarom het lange uitstel?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 23:24 · 1 Sam. 1:11,27–28 · Matt. 24:42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Dragend. Wakker worden, horen, teruggeven, waken.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Waar wordt wakker-zijn grijpen (Ismaël)?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Coherentie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21:6 · 1 Sam. 1:13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Dun. Hart en zichtbaar handelen sluiten aan.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21:12–13 · 1 Sam. 2:10 · Matt. 24:31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Stijgend, dienend. Belofte → koningschap → laatste bazuin.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Vooruitwijzing of kern?</w:t>
            </w:r>
          </w:p>
        </w:tc>
      </w:tr>
    </w:tbl>
    <w:p>
      <w:pPr>
        <w:spacing w:lineRule="auto"/>
      </w:pPr>
      <w:r>
        <w:rPr/>
      </w:r>
    </w:p>
    <w:p>
      <w:pPr>
        <w:pStyle w:val="Heading2"/>
        <w:spacing w:lineRule="auto"/>
      </w:pPr>
      <w:r>
        <w:rPr/>
        <w:t xml:space="preserve">A4. Beweging</w:t>
      </w:r>
    </w:p>
    <w:p>
      <w:pPr>
        <w:spacing w:lineRule="auto"/>
      </w:pPr>
      <w:r>
        <w:rPr/>
        <w:t xml:space="preserve">Wat wordt ontmaskerd? Het krampachtig vasthouden alsof wij het gemaakt hebben — en de subtiele variant „God heeft mijn hulp nodig” (Ismaël), waarbij we de belofte nog geloven maar het proces grijpen.</w:t>
      </w:r>
    </w:p>
    <w:p>
      <w:pPr>
        <w:spacing w:lineRule="auto"/>
      </w:pPr>
      <w:r>
        <w:rPr/>
        <w:t xml:space="preserve">Welk kader zet de tekst ervoor in de plaats? De God die gedenkt, hoort en geeft — en die ons met een geluid wakker roept: ontvang als gave, en geef terug in Zijn dienst.</w:t>
      </w:r>
    </w:p>
    <w:p>
      <w:pPr>
        <w:spacing w:lineRule="auto"/>
      </w:pPr>
      <w:r>
        <w:rPr/>
        <w:t xml:space="preserve">Welke concrete respons en vorming volgen? Werkelijk horen in plaats van gewend raken; teruggeven als wakkere daad (Hanna); en waken met open handen, ook zonder het uur te kennen (Matt. 24).</w:t>
      </w:r>
    </w:p>
    <w:p>
      <w:pPr>
        <w:spacing w:lineRule="auto"/>
      </w:pPr>
      <w:r>
        <w:rPr>
          <w:b/>
        </w:rPr>
        <w:t xml:space="preserve">Kernzin:</w:t>
      </w:r>
      <w:r>
        <w:rPr/>
        <w:t xml:space="preserve"> Het geluid roept wakker — ontvang wat je is toevertrouwd, en leg het open in de hand van Degene die hoort en gedenkt.</w:t>
      </w:r>
    </w:p>
    <w:p>
      <w:pPr>
        <w:spacing w:lineRule="auto"/>
      </w:pPr>
      <w:r>
        <w:rPr>
          <w:b/>
        </w:rPr>
        <w:t xml:space="preserve">Horizon (grond, niet thema van de week):</w:t>
      </w:r>
      <w:r>
        <w:rPr/>
        <w:t xml:space="preserve"> de laatste bazuin (Matt. 24:31) — dezelfde God die Sara en Hanna gedacht heeft, roept aan het einde Zijn kinderen bijeen.</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