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Worksheet</w:t>
      </w:r>
    </w:p>
    <w:p>
      <w:pPr>
        <w:pStyle w:val="Heading1"/>
        <w:spacing w:lineRule="auto"/>
      </w:pPr>
      <w:r>
        <w:rPr/>
        <w:t xml:space="preserve">The Firstfruit and the Honest Weight</w:t>
      </w:r>
    </w:p>
    <w:p>
      <w:pPr>
        <w:spacing w:lineRule="auto"/>
      </w:pPr>
      <w:r>
        <w:rPr>
          <w:b/>
        </w:rPr>
        <w:t xml:space="preserve">Torah:</w:t>
      </w:r>
      <w:r>
        <w:rPr/>
        <w:t xml:space="preserve"> Deuteronomy 26:1–29:9</w:t>
      </w:r>
    </w:p>
    <w:p>
      <w:pPr>
        <w:spacing w:lineRule="auto"/>
      </w:pPr>
      <w:r>
        <w:rPr/>
        <w:t xml:space="preserve">  ·  </w:t>
      </w:r>
    </w:p>
    <w:p>
      <w:pPr>
        <w:spacing w:lineRule="auto"/>
      </w:pPr>
      <w:r>
        <w:rPr>
          <w:b/>
        </w:rPr>
        <w:t xml:space="preserve">Haftarah:</w:t>
      </w:r>
      <w:r>
        <w:rPr/>
        <w:t xml:space="preserve"> Isaiah 60:1–22</w:t>
      </w:r>
    </w:p>
    <w:p>
      <w:pPr>
        <w:spacing w:lineRule="auto"/>
      </w:pPr>
      <w:r>
        <w:rPr/>
        <w:t xml:space="preserve">  ·  </w:t>
      </w:r>
    </w:p>
    <w:p>
      <w:pPr>
        <w:spacing w:lineRule="auto"/>
      </w:pPr>
      <w:r>
        <w:rPr>
          <w:b/>
        </w:rPr>
        <w:t xml:space="preserve">Gospel:</w:t>
      </w:r>
      <w:r>
        <w:rPr/>
        <w:t xml:space="preserve"> Matthew 4:13–24</w:t>
      </w:r>
    </w:p>
    <w:p>
      <w:pPr>
        <w:spacing w:lineRule="auto"/>
      </w:pPr>
      <w:r>
        <w:rPr/>
        <w:t xml:space="preserve">In Ki Tavo you bring the first of the harvest back because all is gift — down to the heart to understand (29:4); and the joy in it (28:47) is no atmosphere but the test of whether you still remember Who gave it.</w:t>
      </w:r>
    </w:p>
    <w:p>
      <w:pPr>
        <w:pStyle w:val="Heading2"/>
        <w:spacing w:lineRule="auto"/>
      </w:pPr>
      <w:r>
        <w:rPr/>
        <w:t xml:space="preserve">How to use this sheet</w:t>
      </w:r>
    </w:p>
    <w:p>
      <w:pPr>
        <w:spacing w:lineRule="auto"/>
      </w:pPr>
      <w:r>
        <w:rPr/>
        <w:t xml:space="preserve">Work from top to bottom: first observe (A1), then weigh (A2), then diagnose (A3), and only then summarize (A4). The direction — received or grasped — is the horizon, not the starting point.</w:t>
      </w:r>
    </w:p>
    <w:p>
      <w:pPr>
        <w:pStyle w:val="Heading2"/>
        <w:spacing w:lineRule="auto"/>
      </w:pPr>
      <w:r>
        <w:rPr/>
        <w:t xml:space="preserve">Basic details</w:t>
      </w:r>
    </w:p>
    <w:p>
      <w:pPr>
        <w:spacing w:lineRule="auto"/>
      </w:pPr>
      <w:r>
        <w:rPr>
          <w:b/>
        </w:rPr>
        <w:t xml:space="preserve">→</w:t>
      </w:r>
      <w:r>
        <w:rPr/>
        <w:t xml:space="preserve">First fill in the basics: which passage, which haftarah, any flanking reading with its status, and for whom you are making this.</w:t>
      </w:r>
    </w:p>
    <w:p>
      <w:pPr>
        <w:spacing w:lineRule="auto"/>
      </w:pPr>
      <w:r>
        <w:rPr>
          <w:b/>
        </w:rPr>
        <w:t xml:space="preserve">Parashah / delimitation:</w:t>
      </w:r>
      <w:r>
        <w:rPr/>
        <w:t xml:space="preserve"> Ki Tavo — Deuteronomy 26:1–29:9</w:t>
      </w:r>
    </w:p>
    <w:p>
      <w:pPr>
        <w:spacing w:lineRule="auto"/>
      </w:pPr>
      <w:r>
        <w:rPr>
          <w:b/>
        </w:rPr>
        <w:t xml:space="preserve">Haftarah / ritual place:</w:t>
      </w:r>
      <w:r>
        <w:rPr/>
        <w:t xml:space="preserve"> Isaiah 60:1–22 (sixth comfort sabbath; sheva de-nechemta)</w:t>
      </w:r>
    </w:p>
    <w:p>
      <w:pPr>
        <w:spacing w:lineRule="auto"/>
      </w:pPr>
      <w:r>
        <w:rPr>
          <w:b/>
        </w:rPr>
        <w:t xml:space="preserve">Flanking reading and status:</w:t>
      </w:r>
      <w:r>
        <w:rPr/>
        <w:t xml:space="preserve"> Matthew 4:13–24 — New Testament mirroring, confessionally used (not as peshat).</w:t>
      </w:r>
    </w:p>
    <w:p>
      <w:pPr>
        <w:spacing w:lineRule="auto"/>
      </w:pPr>
      <w:r>
        <w:rPr>
          <w:b/>
        </w:rPr>
        <w:t xml:space="preserve">Target group and desired form:</w:t>
      </w:r>
      <w:r>
        <w:rPr/>
        <w:t xml:space="preserve"> Study group / congregation · a compact study and a spoken reading.</w:t>
      </w:r>
    </w:p>
    <w:p>
      <w:pPr>
        <w:pStyle w:val="Heading2"/>
        <w:spacing w:lineRule="auto"/>
      </w:pPr>
      <w:r>
        <w:rPr/>
        <w:t xml:space="preserve">A1. Text blocks and peshat</w:t>
      </w:r>
    </w:p>
    <w:p>
      <w:pPr>
        <w:spacing w:lineRule="auto"/>
      </w:pPr>
      <w:r>
        <w:rPr>
          <w:b/>
        </w:rPr>
        <w:t xml:space="preserve">→</w:t>
      </w:r>
      <w:r>
        <w:rPr/>
        <w:t xml:space="preserve">Read block by block. Note first what it says, then the key word or contrast, and only then a genuine open question — not steerable toward an answer you already want.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Text block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What does it say? (peshat)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Key words / contrast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Open question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26:1–11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When you come into the land, take the first of all the fruit in a basket, go to the chosen place, and speak the confession: ‘a Syrian ready to perish was my father’ (Egypt, exodus, land). ‘Rejoice in every good thing.’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firstfruits · arami oved avi · rejoice · received → given back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Why does a story belong with the bringing of the fruit?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26:12–19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third-year tithe for Levite, stranger, fatherless and widow (‘I have hearkened’); and the mutual declaration: you have said the LORD is your God, the LORD has said you are His own people (am segulah).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 have hearkened · you / the LORD have said · am segulah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Who speaks first here — you, or God?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27:11–26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Gerizim and Ebal; twelve curses, mostly over hidden sins (the graven image in secret, misleading the blind), each answered with ‘Amen’.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hidden sins · ‘Amen’ · wholeness (inside = outside)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Why curses precisely over what no one sees?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28 (hinge 28:47)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Blessing on obedience; the long, swelling curse on disobedience; and the key: ‘because thou servedst not the LORD thy God with joyfulness and with gladness of heart, for the abundance of all things’ (28:47).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blessing / curse · joyless service · ‘for the abundance’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How can abundance become the root of the curse?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29:1–9 (hinge 29:4)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You have seen it all — the signs, the wonders, the forty years — ‘yet the LORD hath not given you an heart to perceive, and eyes to see, and ears to hear, unto this day’ (29:4).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‘no heart to perceive’ · gift · ‘unto this day’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If even the heart is given, what remains of ‘achieving’?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Isa. 60:1 / Matt. 4:16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‘Arise, shine; for thy light is come’ — the light rises upon you and the nations come to it. And: ‘the people which sat in darkness saw great light’ (citing Isa. 9).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received light reflected back · the eyes open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How does ‘arise, shine’ relate to ‘no heart’ in 29:4?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A2. Connecting hypotheses</w:t>
      </w:r>
    </w:p>
    <w:p>
      <w:pPr>
        <w:spacing w:lineRule="auto"/>
      </w:pPr>
      <w:r>
        <w:rPr>
          <w:b/>
        </w:rPr>
        <w:t xml:space="preserve">→</w:t>
      </w:r>
      <w:r>
        <w:rPr/>
        <w:t xml:space="preserve">Formulate two readings the text could carry, and choose with the test: which explains the most data with the least force?</w:t>
      </w:r>
    </w:p>
    <w:p>
      <w:pPr>
        <w:spacing w:lineRule="auto"/>
      </w:pPr>
      <w:r>
        <w:rPr>
          <w:b/>
        </w:rPr>
        <w:t xml:space="preserve">Hypothesis 1 (one axis):</w:t>
      </w:r>
      <w:r>
        <w:rPr/>
        <w:t xml:space="preserve"> the center of gravity is the Will axis alone — the parashah is covenant response: bring, confess, remember, obey, rejoice, answer ‘Amen’. The gift side then stays background.</w:t>
      </w:r>
    </w:p>
    <w:p>
      <w:pPr>
        <w:spacing w:lineRule="auto"/>
      </w:pPr>
      <w:r>
        <w:rPr>
          <w:b/>
        </w:rPr>
        <w:t xml:space="preserve">Hypothesis 2 (relation):</w:t>
      </w:r>
      <w:r>
        <w:rPr/>
        <w:t xml:space="preserve"> the center of gravity is the relation between Source and Will — all is gift (down to the heart, 29:4), and precisely therefore the response is thankfulness, not achievement. The firstfruits embody receiving-and-giving-back in one act.</w:t>
      </w:r>
    </w:p>
    <w:p>
      <w:pPr>
        <w:spacing w:lineRule="auto"/>
      </w:pPr>
      <w:r>
        <w:rPr>
          <w:b/>
        </w:rPr>
        <w:t xml:space="preserve">Which explains the most data with the least force?</w:t>
      </w:r>
      <w:r>
        <w:rPr/>
        <w:t xml:space="preserve"> Hypothesis 2. Hypothesis 1 sees the response, but makes am segulah (26:18, God pronounces the status) and 29:4 (the heart is given) inexplicable. The relation reading binds the firstfruits, 28:47 and 29:4 into one figure.</w:t>
      </w:r>
    </w:p>
    <w:p>
      <w:pPr>
        <w:spacing w:lineRule="auto"/>
      </w:pPr>
      <w:r>
        <w:rPr>
          <w:b/>
        </w:rPr>
        <w:t xml:space="preserve">What would refute this reading?</w:t>
      </w:r>
      <w:r>
        <w:rPr/>
        <w:t xml:space="preserve"> If the firstfruits (front), 28:47 (mid-curse) and 29:4 (end) turned out not to be one coherent figure but loose rules, the center of gravity would lie elsewhere — for instance at the integrity of 27–28 (Coherence).</w:t>
      </w:r>
    </w:p>
    <w:p>
      <w:pPr>
        <w:pStyle w:val="Heading2"/>
        <w:spacing w:lineRule="auto"/>
      </w:pPr>
      <w:r>
        <w:rPr/>
        <w:t xml:space="preserve">A3. Four axes</w:t>
      </w:r>
    </w:p>
    <w:p>
      <w:pPr>
        <w:spacing w:lineRule="auto"/>
      </w:pPr>
      <w:r>
        <w:rPr>
          <w:b/>
        </w:rPr>
        <w:t xml:space="preserve">→</w:t>
      </w:r>
      <w:r>
        <w:rPr/>
        <w:t xml:space="preserve">Fill in the text anchors and a short diagnosis per axis. Leave the last column for what your reading does not smooth over — the open anomaly.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Axis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Text anchors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Diagnosis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Open anomaly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26:9–10 (land, fruit) · 26:18 (am segulah) · 29:4 (the heart)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Bearing. All is received — land, fruit, being a people, down to the heart to understand. The human receives before he brings anything back.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Why does God at times withhold the heart (29:4)?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Will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26:2 (bring the first) · 26:5–10 (confess) · 26:11 (rejoice) · 27:15–26 (‘Amen’)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Bearing — meets Source in thankfulness. Covenant response: bringing, confessing, remembering, obeying, rejoicing — as answer, not as source.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Where does ‘thankful service’ turn into ‘my own strength’ (28:47; cf. 8:17)?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Coherence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27:15–26 (hidden sins) · 28 (blessing/curse as consequences)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Supporting; honest as second pole. Wholeness — no gap between hidden and open; blessing/curse as a coherence of consequences.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Does 27–28 pull the center of gravity away from thankfulness, or serve it?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Trajectory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26:1 (‘when you come into the land’) · 29:5 (forty years) · 29:4 (‘unto this day’)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Thin. From exodus to land to ‘this day’ — pointing forward, not the core.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 ‘unto this day’ a limit, or a promise still opening?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Reactivity: weak; not foregrounded (‘I have not transgressed nor forgotten’, 26:13, is response, not reaction). Note it as observation, and do not place it as the motor under the reading.</w:t>
      </w:r>
    </w:p>
    <w:p>
      <w:pPr>
        <w:pStyle w:val="Heading2"/>
        <w:spacing w:lineRule="auto"/>
      </w:pPr>
      <w:r>
        <w:rPr/>
        <w:t xml:space="preserve">A4. Movement</w:t>
      </w:r>
    </w:p>
    <w:p>
      <w:pPr>
        <w:spacing w:lineRule="auto"/>
      </w:pPr>
      <w:r>
        <w:rPr>
          <w:b/>
        </w:rPr>
        <w:t xml:space="preserve">→</w:t>
      </w:r>
      <w:r>
        <w:rPr/>
        <w:t xml:space="preserve">Summarize the movement: what does the text unmask, what frame does it put in its place, what response follows — and capture it in one core sentence.</w:t>
      </w:r>
    </w:p>
    <w:p>
      <w:pPr>
        <w:spacing w:lineRule="auto"/>
      </w:pPr>
      <w:r>
        <w:rPr>
          <w:b/>
        </w:rPr>
        <w:t xml:space="preserve">What is unmasked?</w:t>
      </w:r>
      <w:r>
        <w:rPr/>
        <w:t xml:space="preserve"> The joyless, forgetful service ‘for the abundance’ (28:47) — the gift cut loose from the remembering of the Giver; ‘my own strength has gotten me this’ (cf. 8:17).</w:t>
      </w:r>
    </w:p>
    <w:p>
      <w:pPr>
        <w:spacing w:lineRule="auto"/>
      </w:pPr>
      <w:r>
        <w:rPr>
          <w:b/>
        </w:rPr>
        <w:t xml:space="preserve">What frame does the text put in its place?</w:t>
      </w:r>
      <w:r>
        <w:rPr/>
        <w:t xml:space="preserve"> Thankful remembrance: bring the first back with the story of grace on your lips (arami oved avi), and rejoice — because all is gift, down to the heart (29:4).</w:t>
      </w:r>
    </w:p>
    <w:p>
      <w:pPr>
        <w:spacing w:lineRule="auto"/>
      </w:pPr>
      <w:r>
        <w:rPr>
          <w:b/>
        </w:rPr>
        <w:t xml:space="preserve">What concrete response and formation follow?</w:t>
      </w:r>
      <w:r>
        <w:rPr/>
        <w:t xml:space="preserve"> Give the first back, not the leftover; remember the story of gift aloud; share with Levite, stranger, fatherless and widow; and seek the joy as a test — do I serve out of remembrance, or out of habit?</w:t>
      </w:r>
    </w:p>
    <w:p>
      <w:pPr>
        <w:spacing w:lineRule="auto"/>
      </w:pPr>
      <w:r>
        <w:rPr>
          <w:b/>
        </w:rPr>
        <w:t xml:space="preserve">Core sentence: Bringing the first back — serving out of what you received; the joy is the test of whether you still remember Who gave it.</w:t>
      </w:r>
    </w:p>
    <w:p>
      <w:pPr>
        <w:spacing w:lineRule="auto"/>
      </w:pPr>
      <w:r>
        <w:rPr>
          <w:b/>
        </w:rPr>
        <w:t xml:space="preserve">Horizon</w:t>
      </w:r>
      <w:r>
        <w:rPr/>
        <w:t xml:space="preserve"> (not this week’s theme, but the ground): beneath all this lies the one question — received or grasped. The firstfruits are the received-form; the ‘my own strength’ service the grasped-form. In the gospel the light rises (Isa. 60; Matt. 4:16) and the eyes 29:4 still withheld open in Yeshua — the given heart, embodied.</w:t>
      </w:r>
    </w:p>
    <w:p>
      <w:pPr>
        <w:spacing w:lineRule="auto"/>
      </w:pPr>
      <w:r>
        <w:rPr/>
        <w:t xml:space="preserve">     parasja.nl — © Arie Alberts   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2026-09-20T08:45:22.524Z</dcterms:created>
  <dcterms:modified xsi:type="dcterms:W3CDTF">2026-09-20T08:45:22.524Z</dcterms:modified>
</cp:coreProperties>
</file>