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Werkblad</w:t>
      </w:r>
    </w:p>
    <w:p>
      <w:pPr>
        <w:pStyle w:val="Heading1"/>
        <w:spacing w:lineRule="auto"/>
      </w:pPr>
      <w:r>
        <w:rPr/>
        <w:t xml:space="preserve">De eersteling en de eerlijke weegsteen</w:t>
      </w:r>
    </w:p>
    <w:p>
      <w:pPr>
        <w:spacing w:lineRule="auto"/>
      </w:pPr>
      <w:r>
        <w:rPr>
          <w:b/>
        </w:rPr>
        <w:t xml:space="preserve">Tora:</w:t>
      </w:r>
      <w:r>
        <w:rPr/>
        <w:t xml:space="preserve"> Deuteronomium 26:1–29:9</w:t>
      </w:r>
    </w:p>
    <w:p>
      <w:pPr>
        <w:spacing w:lineRule="auto"/>
      </w:pPr>
      <w:r>
        <w:rPr/>
        <w:t xml:space="preserve">  ·  </w:t>
      </w:r>
    </w:p>
    <w:p>
      <w:pPr>
        <w:spacing w:lineRule="auto"/>
      </w:pPr>
      <w:r>
        <w:rPr>
          <w:b/>
        </w:rPr>
        <w:t xml:space="preserve">Haftara:</w:t>
      </w:r>
      <w:r>
        <w:rPr/>
        <w:t xml:space="preserve"> Jesaja 60:1–22</w:t>
      </w:r>
    </w:p>
    <w:p>
      <w:pPr>
        <w:spacing w:lineRule="auto"/>
      </w:pPr>
      <w:r>
        <w:rPr/>
        <w:t xml:space="preserve">  ·  </w:t>
      </w:r>
    </w:p>
    <w:p>
      <w:pPr>
        <w:spacing w:lineRule="auto"/>
      </w:pPr>
      <w:r>
        <w:rPr>
          <w:b/>
        </w:rPr>
        <w:t xml:space="preserve">Evangelie:</w:t>
      </w:r>
      <w:r>
        <w:rPr/>
        <w:t xml:space="preserve"> Mattheüs 4:13–24</w:t>
      </w:r>
    </w:p>
    <w:p>
      <w:pPr>
        <w:spacing w:lineRule="auto"/>
      </w:pPr>
      <w:r>
        <w:rPr/>
        <w:t xml:space="preserve">In Ki Tavo breng je het eérste van de oogst terug omdat álles gave is — tot het hart om te verstaan toe (29:4); en de vreugde daarbij (28:47) is geen sfeer maar de toets of je nog gedenkt Wie het gaf.</w:t>
      </w:r>
    </w:p>
    <w:p>
      <w:pPr>
        <w:pStyle w:val="Heading2"/>
        <w:spacing w:lineRule="auto"/>
      </w:pPr>
      <w:r>
        <w:rPr/>
        <w:t xml:space="preserve">Zo gebruik je dit blad</w:t>
      </w:r>
    </w:p>
    <w:p>
      <w:pPr>
        <w:spacing w:lineRule="auto"/>
      </w:pPr>
      <w:r>
        <w:rPr/>
        <w:t xml:space="preserve">Werk van boven naar beneden: eerst wáárnemen (A1), dan wégen (A2), dan diagnosticeren (A3), en pas dan samenvatten (A4). De richting — ontvangen of gegrepen — is de horizon, niet het vertrekpunt.</w:t>
      </w:r>
    </w:p>
    <w:p>
      <w:pPr>
        <w:pStyle w:val="Heading2"/>
        <w:spacing w:lineRule="auto"/>
      </w:pPr>
      <w:r>
        <w:rPr/>
        <w:t xml:space="preserve">Basisgegevens</w:t>
      </w:r>
    </w:p>
    <w:p>
      <w:pPr>
        <w:spacing w:lineRule="auto"/>
      </w:pPr>
      <w:r>
        <w:rPr>
          <w:b/>
        </w:rPr>
        <w:t xml:space="preserve">→</w:t>
      </w:r>
      <w:r>
        <w:rPr/>
        <w:t xml:space="preserve">Vul eerst de basis in: welk gedeelte, welke haftara, een eventuele flanklezing met haar status, en voor wie je dit maakt.</w:t>
      </w:r>
    </w:p>
    <w:p>
      <w:pPr>
        <w:spacing w:lineRule="auto"/>
      </w:pPr>
      <w:r>
        <w:rPr>
          <w:b/>
        </w:rPr>
        <w:t xml:space="preserve">Parasja / afbakening:</w:t>
      </w:r>
      <w:r>
        <w:rPr/>
        <w:t xml:space="preserve"> Ki Tavo — Deuteronomium 26:1–29:9</w:t>
      </w:r>
    </w:p>
    <w:p>
      <w:pPr>
        <w:spacing w:lineRule="auto"/>
      </w:pPr>
      <w:r>
        <w:rPr>
          <w:b/>
        </w:rPr>
        <w:t xml:space="preserve">Haftara / rituele plaats:</w:t>
      </w:r>
      <w:r>
        <w:rPr/>
        <w:t xml:space="preserve"> Jesaja 60:1–22 (zesde troost-sjabbat; sjeva de-nechemta)</w:t>
      </w:r>
    </w:p>
    <w:p>
      <w:pPr>
        <w:spacing w:lineRule="auto"/>
      </w:pPr>
      <w:r>
        <w:rPr>
          <w:b/>
        </w:rPr>
        <w:t xml:space="preserve">Eventuele flanklezing en status:</w:t>
      </w:r>
      <w:r>
        <w:rPr/>
        <w:t xml:space="preserve"> Mattheüs 4:13–24 — nieuwtestamentische spiegeling, belijdend gebruikt (niet als peshat).</w:t>
      </w:r>
    </w:p>
    <w:p>
      <w:pPr>
        <w:spacing w:lineRule="auto"/>
      </w:pPr>
      <w:r>
        <w:rPr>
          <w:b/>
        </w:rPr>
        <w:t xml:space="preserve">Doelgroep en gewenste vorm:</w:t>
      </w:r>
      <w:r>
        <w:rPr/>
        <w:t xml:space="preserve"> Studiegroep / gemeente · compacte studie en een gesproken lezing.</w:t>
      </w:r>
    </w:p>
    <w:p>
      <w:pPr>
        <w:pStyle w:val="Heading2"/>
        <w:spacing w:lineRule="auto"/>
      </w:pPr>
      <w:r>
        <w:rPr/>
        <w:t xml:space="preserve">A1. Tekstblokken en peshat</w:t>
      </w:r>
    </w:p>
    <w:p>
      <w:pPr>
        <w:spacing w:lineRule="auto"/>
      </w:pPr>
      <w:r>
        <w:rPr>
          <w:b/>
        </w:rPr>
        <w:t xml:space="preserve">→</w:t>
      </w:r>
      <w:r>
        <w:rPr/>
        <w:t xml:space="preserve">Lees blok voor blok. Noteer eerst wat er stáát, dan het sleutelwoord of contrast, en pas dan een échte open vraag — niet stuurbaar naar een antwoord dat je al wilt.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Tekstblok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Wat staat er? (peshat)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Sleutelwoorden / contrast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Open vraag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26:1–11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Kom je in het land, neem het eérste van alle vrucht in een korf, ga naar de gekozen plaats, en spreek de belijdenis: ‚een zwervende Arameër was mijn vader’ (Egypte, uittocht, land). ‚Verheug u in al het goede.’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eerstelingen · arami oved avi · verheug u · ontvangen → teruggeven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Waarom hoort er een vérhaal bij het brengen van de vrucht?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26:12–19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 derde-jaars tiende voor Leviet, vreemdeling, wees en weduwe (‚ik heb gehoord’); en de wederzijdse verklaring: jíj hebt gezegd dat de HEERE je God is, de HEERE heeft gezegd dat jij Zijn eigen volk bent (am segoela).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ik heb gehoord · jij / de HEERE hebt gezegd · am segoela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Wie spreekt hier het eerst — jij, of God?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27:11–26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Gerizim en Ebal; twaalf vervloekingen, vooral over vérborgen zonden (het beeld in het geheim, de blinde misleiden), elk beantwoord met ‚Amen’.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verborgen zonden · ‚Amen’ · heelheid (binnen = buiten)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Waarom vloeken over juist wat niemand ziet?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28 (spil 28:47)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Zegen bij gehoorzaamheid; de lange, aanzwellende vloek bij ongehoorzaamheid; en de sleutel: ‚omdat u de HEERE niet met blijdschap en hartelijke vreugde gediend hebt, vanwege de overvloed van alles’ (28:47).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zegen / vloek · vreugdeloos dienen · ‚vanwege de overvloed’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Hoe kan overvloed de wórtel van de vloek worden?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29:1–9 (spil 29:4)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Je hébt alles gezien — de tekenen, de wonderen, de veertig jaar — ‚maar de HEERE heeft u geen hart gegeven om te kennen, geen ogen om te zien, geen oren om te horen, tot op deze dag’ (29:4).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‚geen hart om te kennen’ · gave · ‚tot op deze dag’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Als zelfs het hart gegeven wórdt, wat blijft er van ‚presteren’ over?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Jes. 60:1 / Matt. 4:16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‚Sta op, word verlicht, want uw licht komt’ — het licht rijst óver je op en de volken komen ertoe. En: ‚het volk dat in duisternis zat, heeft een groot licht gezien’ (citaat Jes. 9).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ontvangen licht terugkaatsen · de ogen gaan open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Hoe verhoudt ‚word verlicht’ zich tot ‚geen hart’ in 29:4?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A2. Verbindende hypotheses</w:t>
      </w:r>
    </w:p>
    <w:p>
      <w:pPr>
        <w:spacing w:lineRule="auto"/>
      </w:pPr>
      <w:r>
        <w:rPr>
          <w:b/>
        </w:rPr>
        <w:t xml:space="preserve">→</w:t>
      </w:r>
      <w:r>
        <w:rPr/>
        <w:t xml:space="preserve">Formuleer twee lezingen die de tekst zou kúnnen dragen, en kies met de toets: welke verklaart de meeste gegevens met de minste dwang?</w:t>
      </w:r>
    </w:p>
    <w:p>
      <w:pPr>
        <w:spacing w:lineRule="auto"/>
      </w:pPr>
      <w:r>
        <w:rPr>
          <w:b/>
        </w:rPr>
        <w:t xml:space="preserve">Hypothese 1 (één as):</w:t>
      </w:r>
      <w:r>
        <w:rPr/>
        <w:t xml:space="preserve"> het zwaartepunt is de Wil-as alleen — de parasja is verbondsrespons: breng, belijd, gedenk, gehoorzaam, verheug je, antwoord ‚Amen’. De gave-kant blijft dan achtergrond.</w:t>
      </w:r>
    </w:p>
    <w:p>
      <w:pPr>
        <w:spacing w:lineRule="auto"/>
      </w:pPr>
      <w:r>
        <w:rPr>
          <w:b/>
        </w:rPr>
        <w:t xml:space="preserve">Hypothese 2 (relatie):</w:t>
      </w:r>
      <w:r>
        <w:rPr/>
        <w:t xml:space="preserve"> het zwaartepunt is de relátie tussen Bron en Wil — álles is gave (tot het hart toe, 29:4), en juist dáárom is de respons dankbaarheid, geen prestatie. De eerstelingen belichamen ontvangen-én-teruggeven in één handeling.</w:t>
      </w:r>
    </w:p>
    <w:p>
      <w:pPr>
        <w:spacing w:lineRule="auto"/>
      </w:pPr>
      <w:r>
        <w:rPr>
          <w:b/>
        </w:rPr>
        <w:t xml:space="preserve">Welke verklaart de meeste gegevens met de minste dwang?</w:t>
      </w:r>
      <w:r>
        <w:rPr/>
        <w:t xml:space="preserve"> Hypothese 2. Hypothese 1 ziet de respons, maar maakt am segoela (26:18, God spréékt de status uit) en 29:4 (het hart wordt gegeven) onverklaarbaar. De relatie-lezing verbindt de eerstelingen, 28:47 én 29:4 tot één figuur.</w:t>
      </w:r>
    </w:p>
    <w:p>
      <w:pPr>
        <w:spacing w:lineRule="auto"/>
      </w:pPr>
      <w:r>
        <w:rPr>
          <w:b/>
        </w:rPr>
        <w:t xml:space="preserve">Wat zou deze lezing weerleggen?</w:t>
      </w:r>
      <w:r>
        <w:rPr/>
        <w:t xml:space="preserve"> Als de eerstelingen (vooraan), 28:47 (midden in de vloek) en 29:4 (achteraan) géén samenhangende figuur bleken maar losse regels, zou het zwaartepunt elders liggen — bijvoorbeeld bij de integriteit van 27–28 (Coherentie).</w:t>
      </w:r>
    </w:p>
    <w:p>
      <w:pPr>
        <w:pStyle w:val="Heading2"/>
        <w:spacing w:lineRule="auto"/>
      </w:pPr>
      <w:r>
        <w:rPr/>
        <w:t xml:space="preserve">A3. Vier assen</w:t>
      </w:r>
    </w:p>
    <w:p>
      <w:pPr>
        <w:spacing w:lineRule="auto"/>
      </w:pPr>
      <w:r>
        <w:rPr>
          <w:b/>
        </w:rPr>
        <w:t xml:space="preserve">→</w:t>
      </w:r>
      <w:r>
        <w:rPr/>
        <w:t xml:space="preserve">Vul per as de tekstankers en een korte diagnose in. Laat de laatste kolom staan voor wat je lezing níet glad strijkt — de open anomalie.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Tekstankers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Diagnose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Open anomalie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Bron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26:9–10 (land, vrucht) · 26:18 (am segoela) · 29:4 (het hart)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Dragend. Alles is ontvangen — land, vrucht, volk-zijn, tot het hart om te verstaan. De mens ontvangt vóór hij iets terugbrengt.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Waarom houdt God het hart soms in (29:4)?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26:2 (breng het eerste) · 26:5–10 (belijd) · 26:11 (verheug u) · 27:15–26 (‚Amen’)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Dragend — ontmoet Bron in de dankbaarheid. Verbondsrespons: brengen, belijden, gedenken, gehoorzamen, je verheugen — als antwoord, niet als bron.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Waar slaat ‚dankbaar dienen’ om in ‚eigen kracht’ (28:47; vgl. 8:17)?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Coherentie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27:15–26 (verborgen zonden) · 28 (zegen/vloek als gevolgen)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Ondersteunend; eerlijk als tweede pool. Heelheid — geen kloof tussen verborgen en openbaar; zegen/vloek als coherentie van gevolgen.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Trekt 27–28 het zwaartepunt wég van de dankbaarheid, of diént het die?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26:1 (‚wanneer u in het land komt’) · 29:5 (veertig jaar) · 29:4 (‚tot op deze dag’)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Dun. Van uittocht naar land naar ‚deze dag’ — vooruitwijzing, geen kern.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 ‚tot op deze dag’ een grens, of een belofte die nog opengaat?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Reactiviteit: zwak; niet vooropgesteld (‚ik heb niets overtreden noch vergeten’, 26:13, is respons, geen afzet). Noteer dat als waarneming, en leg het niet als motor onder de lezing.</w:t>
      </w:r>
    </w:p>
    <w:p>
      <w:pPr>
        <w:pStyle w:val="Heading2"/>
        <w:spacing w:lineRule="auto"/>
      </w:pPr>
      <w:r>
        <w:rPr/>
        <w:t xml:space="preserve">A4. Beweging</w:t>
      </w:r>
    </w:p>
    <w:p>
      <w:pPr>
        <w:spacing w:lineRule="auto"/>
      </w:pPr>
      <w:r>
        <w:rPr>
          <w:b/>
        </w:rPr>
        <w:t xml:space="preserve">→</w:t>
      </w:r>
      <w:r>
        <w:rPr/>
        <w:t xml:space="preserve">Vat de beweging samen: wat ontmaskert de tekst, welk kader zet hij ervoor in de plaats, welke respons volgt — en vang het in één kernzin.</w:t>
      </w:r>
    </w:p>
    <w:p>
      <w:pPr>
        <w:spacing w:lineRule="auto"/>
      </w:pPr>
      <w:r>
        <w:rPr>
          <w:b/>
        </w:rPr>
        <w:t xml:space="preserve">Wat wordt ontmaskerd?</w:t>
      </w:r>
      <w:r>
        <w:rPr/>
        <w:t xml:space="preserve"> Het vreugdeloze, vergeten dienen ‚vanwege de overvloed’ (28:47) — de gave losgemaakt van het gedenken van de Gever; ‚mijn eigen kracht heeft mij dit verworven’ (vgl. 8:17).</w:t>
      </w:r>
    </w:p>
    <w:p>
      <w:pPr>
        <w:spacing w:lineRule="auto"/>
      </w:pPr>
      <w:r>
        <w:rPr>
          <w:b/>
        </w:rPr>
        <w:t xml:space="preserve">Welk kader zet de tekst ervoor in de plaats?</w:t>
      </w:r>
      <w:r>
        <w:rPr/>
        <w:t xml:space="preserve"> Dankbaar gedenken: breng het eérste terug mét het verhaal van genade op je lippen (arami oved avi), en verheug je — omdat álles gave is, tot het hart toe (29:4).</w:t>
      </w:r>
    </w:p>
    <w:p>
      <w:pPr>
        <w:spacing w:lineRule="auto"/>
      </w:pPr>
      <w:r>
        <w:rPr>
          <w:b/>
        </w:rPr>
        <w:t xml:space="preserve">Welke concrete respons en vorming volgen?</w:t>
      </w:r>
      <w:r>
        <w:rPr/>
        <w:t xml:space="preserve"> Het eérste teruggeven, niet het restje; het verhaal van gave hardop gedenken; delen met Leviet, vreemdeling, wees en weduwe; en de vreugde zoeken als toets — dien ik uit gedenken, of uit gewenning?</w:t>
      </w:r>
    </w:p>
    <w:p>
      <w:pPr>
        <w:spacing w:lineRule="auto"/>
      </w:pPr>
      <w:r>
        <w:rPr>
          <w:b/>
        </w:rPr>
        <w:t xml:space="preserve">Kernzin: Het eerste terugbrengen — dienen uit wat je ontving; de vreugde is de toets of je nog gedenkt Wie het gaf.</w:t>
      </w:r>
    </w:p>
    <w:p>
      <w:pPr>
        <w:spacing w:lineRule="auto"/>
      </w:pPr>
      <w:r>
        <w:rPr>
          <w:b/>
        </w:rPr>
        <w:t xml:space="preserve">Horizon</w:t>
      </w:r>
      <w:r>
        <w:rPr/>
        <w:t xml:space="preserve"> (niet het thema van deze week, wel de grond): onder dit alles ligt de éne vraag — ontvangen of gegrepen. De eerstelingen zijn de ontvangen-vorm; het ‚eigen kracht’-dienen de gegrepen-vorm. In het evangelie gaat het licht op (Jes. 60; Matt. 4:16) en de ogen die 29:4 nog inhield, gaan open in Yeshua — het gegeven hart, belichaamd.</w:t>
      </w:r>
    </w:p>
    <w:p>
      <w:pPr>
        <w:spacing w:lineRule="auto"/>
      </w:pPr>
      <w:r>
        <w:rPr/>
        <w:t xml:space="preserve">     parasja.nl — © Arie Alberts  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2026-09-20T08:45:22.524Z</dcterms:created>
  <dcterms:modified xsi:type="dcterms:W3CDTF">2026-09-20T08:45:22.524Z</dcterms:modified>
</cp:coreProperties>
</file>