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Werkblad</w:t>
      </w:r>
    </w:p>
    <w:p>
      <w:pPr>
        <w:pStyle w:val="Heading1"/>
        <w:spacing w:lineRule="auto"/>
      </w:pPr>
      <w:r>
        <w:rPr/>
        <w:t xml:space="preserve">In je mond, in je hart, in je handen</w:t>
      </w:r>
    </w:p>
    <w:p>
      <w:pPr>
        <w:spacing w:lineRule="auto"/>
      </w:pPr>
      <w:r>
        <w:rPr>
          <w:b/>
        </w:rPr>
        <w:t xml:space="preserve">Tora:</w:t>
      </w:r>
      <w:r>
        <w:rPr/>
        <w:t xml:space="preserve"> Deuteronomium 29:10–31:30</w:t>
      </w:r>
    </w:p>
    <w:p>
      <w:pPr>
        <w:spacing w:lineRule="auto"/>
      </w:pPr>
      <w:r>
        <w:rPr/>
        <w:t xml:space="preserve">  ·  </w:t>
      </w:r>
    </w:p>
    <w:p>
      <w:pPr>
        <w:spacing w:lineRule="auto"/>
      </w:pPr>
      <w:r>
        <w:rPr>
          <w:b/>
        </w:rPr>
        <w:t xml:space="preserve">Haftara:</w:t>
      </w:r>
      <w:r>
        <w:rPr/>
        <w:t xml:space="preserve"> Jesaja 61:10-63:9</w:t>
      </w:r>
    </w:p>
    <w:p>
      <w:pPr>
        <w:spacing w:lineRule="auto"/>
      </w:pPr>
      <w:r>
        <w:rPr/>
        <w:t xml:space="preserve">  ·  </w:t>
      </w:r>
    </w:p>
    <w:p>
      <w:pPr>
        <w:spacing w:lineRule="auto"/>
      </w:pPr>
      <w:r>
        <w:rPr>
          <w:b/>
        </w:rPr>
        <w:t xml:space="preserve">Evangelie:</w:t>
      </w:r>
      <w:r>
        <w:rPr/>
        <w:t xml:space="preserve"> Johannes 12:41-50</w:t>
      </w:r>
    </w:p>
    <w:p>
      <w:pPr>
        <w:spacing w:lineRule="auto"/>
      </w:pPr>
      <w:r>
        <w:rPr/>
        <w:t xml:space="preserve">In Nitzavim/Vayelech is het woord niet in de hemel maar zéér nabij — in je mond, in je hart, in je handen, om het te dóen; God besnijdt eerst het hart (30:6), en wat je ontving geef je door, van Mozes op Jozua, van geslacht op geslacht.</w:t>
      </w:r>
    </w:p>
    <w:p>
      <w:pPr>
        <w:pStyle w:val="Heading2"/>
        <w:spacing w:lineRule="auto"/>
      </w:pPr>
      <w:r>
        <w:rPr/>
        <w:t xml:space="preserve">Zo gebruik je dit blad</w:t>
      </w:r>
    </w:p>
    <w:p>
      <w:pPr>
        <w:spacing w:lineRule="auto"/>
      </w:pPr>
      <w:r>
        <w:rPr/>
        <w:t xml:space="preserve">Werk van boven naar beneden: eerst wáárnemen (A1), dan wégen (A2), dan diagnosticeren (A3), en pas dan samenvatten (A4). De richting — ontvangen of grijpen — is de horizon, niet het vertrekpunt.</w:t>
      </w:r>
    </w:p>
    <w:p>
      <w:pPr>
        <w:pStyle w:val="Heading2"/>
        <w:spacing w:lineRule="auto"/>
      </w:pPr>
      <w:r>
        <w:rPr/>
        <w:t xml:space="preserve">Basisgegevens</w:t>
      </w:r>
    </w:p>
    <w:p>
      <w:pPr>
        <w:spacing w:lineRule="auto"/>
      </w:pPr>
      <w:r>
        <w:rPr>
          <w:b/>
        </w:rPr>
        <w:t xml:space="preserve">→</w:t>
      </w:r>
      <w:r>
        <w:rPr/>
        <w:t xml:space="preserve">Vul eerst de basis in: welk gedeelte, welke haftara, een eventuele flanklezing met haar status, en voor wie je dit maakt.</w:t>
      </w:r>
    </w:p>
    <w:p>
      <w:pPr>
        <w:spacing w:lineRule="auto"/>
      </w:pPr>
      <w:r>
        <w:rPr>
          <w:b/>
        </w:rPr>
        <w:t xml:space="preserve">Parasja / afbakening:</w:t>
      </w:r>
      <w:r>
        <w:rPr/>
        <w:t xml:space="preserve"> Nitzavim/Vayelech — Deuteronomium 29:10–31:30</w:t>
      </w:r>
    </w:p>
    <w:p>
      <w:pPr>
        <w:spacing w:lineRule="auto"/>
      </w:pPr>
      <w:r>
        <w:rPr>
          <w:b/>
        </w:rPr>
        <w:t xml:space="preserve">Haftara / rituele plaats:</w:t>
      </w:r>
      <w:r>
        <w:rPr/>
        <w:t xml:space="preserve"> Jesaja 61:10–63:9 (zevende troost-sjabbat; sjeva de-nechemta)</w:t>
      </w:r>
    </w:p>
    <w:p>
      <w:pPr>
        <w:spacing w:lineRule="auto"/>
      </w:pPr>
      <w:r>
        <w:rPr>
          <w:b/>
        </w:rPr>
        <w:t xml:space="preserve">Eventuele flanklezing en status:</w:t>
      </w:r>
      <w:r>
        <w:rPr/>
        <w:t xml:space="preserve"> Johannes 12:41–50 — nieuwtestamentische spiegeling, belijdend gebruikt (niet als peshat).</w:t>
      </w:r>
    </w:p>
    <w:p>
      <w:pPr>
        <w:spacing w:lineRule="auto"/>
      </w:pPr>
      <w:r>
        <w:rPr>
          <w:b/>
        </w:rPr>
        <w:t xml:space="preserve">Doelgroep en gewenste vorm:</w:t>
      </w:r>
      <w:r>
        <w:rPr/>
        <w:t xml:space="preserve"> Studiegroep / gemeente · compacte studie en een gesproken lezing.</w:t>
      </w:r>
    </w:p>
    <w:p>
      <w:pPr>
        <w:pStyle w:val="Heading2"/>
        <w:spacing w:lineRule="auto"/>
      </w:pPr>
      <w:r>
        <w:rPr/>
        <w:t xml:space="preserve">A1. Tekstblokken en peshat</w:t>
      </w:r>
    </w:p>
    <w:p>
      <w:pPr>
        <w:spacing w:lineRule="auto"/>
      </w:pPr>
      <w:r>
        <w:rPr>
          <w:b/>
        </w:rPr>
        <w:t xml:space="preserve">→</w:t>
      </w:r>
      <w:r>
        <w:rPr/>
        <w:t xml:space="preserve">Lees blok voor blok. Noteer eerst wat er stáát, dan het sleutelwoord of contrast, en pas dan een échte open vraag.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Tekstblok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Wat staat er? (peshat)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Sleutelwoorden / contrast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Open vraag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29:10-14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Allen staan present, van hoofd tot waterputter, om ín het verbond en zijn eed te tréden; God bevestigt hen als volk — óók namens wie er ‘heden niet is’.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treden · verbond over het geslacht heen · van hoofd tot waterputter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Wie treedt hier binnen, en namens wie?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29:15-28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 wortel die gif draagt is de mens die zich in het verborgene zégent (29:18). Toorn, ballingschap. Dan 29:29: de verborgen dingen zijn voor de HEERE; de geopenbaarde voor óns en onze kinderen, ‘om te doen’.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verborgen ↔︎ openbaar · zich-zegenen · om te doen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Waarom is juist het heimelijke de wortel?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30:1-10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 ballingschap: terugkeer (tesjoewa), God verzamelt, en God besnijdt het hart (30:6) om Hem lief te hebben.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terugkeer · God besnijdt · hart vrijgemaakt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 gaat vooraf: het vrijgemaakte hart, of het liefhebben?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30:11-14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Het gebod is niet te wonderbaar, niet ver, niet in de hemel, niet over zee — nabij, in mond en hart, ‘om het te doen’ (3× la’asoto; 4QDeut-b/LXX voegen ‘en in uw handen’ toe).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nabij · in mond / hart / handen · om te doen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 betekent ‘nabij’ — vrijblijvend, of bereikbaar-om-te-doen?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30:15-20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‘Ik heb u het leven en de dood, de zegen en de vloek voorgesteld — kíes dan het leven.’ Hemel en aarde als getuigen.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kies · leven / dood · getuigen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Waarom wordt de keuze bij de mens gelegd?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31:1-30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Mozes (120) draagt over aan Jozua (‘wees sterk en moedig’, 31:7); de Tora elke zeven jaar hardop voorgelezen aan héél het volk incl. kinderen en vreemdeling (31:11-12); het lied en de Tora náást de ark, als getuige.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overdracht · hardop voorlezen · getuige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Waarom hoort doorgeven bij het nabije woord?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A2. Verbindende hypotheses</w:t>
      </w:r>
    </w:p>
    <w:p>
      <w:pPr>
        <w:spacing w:lineRule="auto"/>
      </w:pPr>
      <w:r>
        <w:rPr>
          <w:b/>
        </w:rPr>
        <w:t xml:space="preserve">→</w:t>
      </w:r>
      <w:r>
        <w:rPr/>
        <w:t xml:space="preserve">Formuleer twee lezingen die de tekst zou kúnnen dragen, en kies met de toets: welke verklaart de meeste gegevens met de minste dwang?</w:t>
      </w:r>
    </w:p>
    <w:p>
      <w:pPr>
        <w:spacing w:lineRule="auto"/>
      </w:pPr>
      <w:r>
        <w:rPr>
          <w:b/>
        </w:rPr>
        <w:t xml:space="preserve">Hypothese 1 (één as):</w:t>
      </w:r>
      <w:r>
        <w:rPr/>
        <w:t xml:space="preserve"> het zwaartepunt is de Bron-as alleen — de parasja is genade: God verzamelt, besnijdt het hart (30:6), maakt het bereikbaar. Het doen blijft dan bijzaak.</w:t>
      </w:r>
    </w:p>
    <w:p>
      <w:pPr>
        <w:spacing w:lineRule="auto"/>
      </w:pPr>
      <w:r>
        <w:rPr>
          <w:b/>
        </w:rPr>
        <w:t xml:space="preserve">Hypothese 2 (relatie):</w:t>
      </w:r>
      <w:r>
        <w:rPr/>
        <w:t xml:space="preserve"> het zwaartepunt is de relátie — het nabije woord is nabij gebrácht (Bron) juist om gedáán en dóorgegeven te worden (Wil/Coherentie). 30:6 is de grond, 30:11-20 + heel Vayelecht de massa.</w:t>
      </w:r>
    </w:p>
    <w:p>
      <w:pPr>
        <w:spacing w:lineRule="auto"/>
      </w:pPr>
      <w:r>
        <w:rPr>
          <w:b/>
        </w:rPr>
        <w:t xml:space="preserve">Welke verklaart de meeste gegevens met de minste dwang?</w:t>
      </w:r>
      <w:r>
        <w:rPr/>
        <w:t xml:space="preserve"> Hypothese 2. Hypothese 1 ziet de genade, maar maakt de retorische massa (3× ‘om te doen’, ‘kies’, heel Vayelecht met de overdracht) onverklaarbaar. De relatie-lezing grondt het doen ín de gegeven nabijheid.</w:t>
      </w:r>
    </w:p>
    <w:p>
      <w:pPr>
        <w:spacing w:lineRule="auto"/>
      </w:pPr>
      <w:r>
        <w:rPr>
          <w:b/>
        </w:rPr>
        <w:t xml:space="preserve">Wat zou deze lezing weerleggen?</w:t>
      </w:r>
      <w:r>
        <w:rPr/>
        <w:t xml:space="preserve"> Als 30:6 (het besneden hart) als climax stond en 30:11-20 als bijzin functioneerde, lag het zwaartepunt bij Bron/ontvangen. De tekst draait dat juist om — 30:6 is vóorwaarde, geen landingsplaats.</w:t>
      </w:r>
    </w:p>
    <w:p>
      <w:pPr>
        <w:pStyle w:val="Heading2"/>
        <w:spacing w:lineRule="auto"/>
      </w:pPr>
      <w:r>
        <w:rPr/>
        <w:t xml:space="preserve">A3. Vier assen</w:t>
      </w:r>
    </w:p>
    <w:p>
      <w:pPr>
        <w:spacing w:lineRule="auto"/>
      </w:pPr>
      <w:r>
        <w:rPr>
          <w:b/>
        </w:rPr>
        <w:t xml:space="preserve">→</w:t>
      </w:r>
      <w:r>
        <w:rPr/>
        <w:t xml:space="preserve">Vul per as de tekstankers en een korte diagnose in. Laat de laatste kolom staan voor wat je lezing níet glad strijkt.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Tekstankers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Diagnose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Open anomalie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29:11 (treden) · 30:2 (terugkeren/doen) · 30:11-14 (nabije doen) · 30:19 (kiezen) · 31:7,12 (overdragen, horen-leren-doen)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Dragend. Antwoord binnen bereik; het woord is náár je toe gebracht — geen zelfredzaamheid, wel echte roeping.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Waar slaat ‘gekozen doen’ om in ‘eigen kracht’ (vgl. 8:17)?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Coherentie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29:18 (heimelijk zich-zegenen) · 29:29 (verborgen ↔︎ openbaar, om te doen) · 31:19 (lied als getuige)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Dragend, tweede pool. Geen kloof tussen verborgen hart en openbare daad; arvut — het volk staat als één lichaam borg.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 nekudot op ‘ons en onze kinderen’ — waarom een teken op juist de doorgegeven verantwoordelijkheid?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Bron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30:3-6 (God verzamelt, besnijdt het hart)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Reîel, maar draagt hier niet het gewicht — grond, geen climax. Het vrijgemaakte hart maakt het doen bereikbaar.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Waarom staat 30:6 vóóraf en niet als landingsplaats?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ballingschap → terugkeer (30:1-5) · Mozes → Jozua (31:7) · geslacht → geslacht (31:12-13)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Stijgend; voedt de ‘doorgeven’-kant, maar staat in dienst van Wil, niet als eigen kern.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 ‘tot in eeuwigheid’ (29:29) een grens, of een belofte?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Reactiviteit: de reflex legt het gewicht op ontvangen/weerloosheid (30:6 als climax) — precies wat de bronnen tegenspreken. Noteer dat als bewaking, en leg het niet als motor onder de lezing.</w:t>
      </w:r>
    </w:p>
    <w:p>
      <w:pPr>
        <w:pStyle w:val="Heading2"/>
        <w:spacing w:lineRule="auto"/>
      </w:pPr>
      <w:r>
        <w:rPr/>
        <w:t xml:space="preserve">A4. Beweging</w:t>
      </w:r>
    </w:p>
    <w:p>
      <w:pPr>
        <w:spacing w:lineRule="auto"/>
      </w:pPr>
      <w:r>
        <w:rPr>
          <w:b/>
        </w:rPr>
        <w:t xml:space="preserve">→</w:t>
      </w:r>
      <w:r>
        <w:rPr/>
        <w:t xml:space="preserve">Vat de beweging samen: wat ontmaskert de tekst, welk kader zet hij ervoor in de plaats, welke respons volgt — en vang het in één kernzin.</w:t>
      </w:r>
    </w:p>
    <w:p>
      <w:pPr>
        <w:spacing w:lineRule="auto"/>
      </w:pPr>
      <w:r>
        <w:rPr>
          <w:b/>
        </w:rPr>
        <w:t xml:space="preserve">Wat wordt ontmaskerd?</w:t>
      </w:r>
      <w:r>
        <w:rPr/>
        <w:t xml:space="preserve"> Het woord ver weg gemaakt — in de hemel, over zee, een last, een juk opgelegd (of jezelf een merkteken maken); en de mens die zich in het verborgene zegent en tóch zijn eigen weg gaat (29:18).</w:t>
      </w:r>
    </w:p>
    <w:p>
      <w:pPr>
        <w:spacing w:lineRule="auto"/>
      </w:pPr>
      <w:r>
        <w:rPr>
          <w:b/>
        </w:rPr>
        <w:t xml:space="preserve">Welk kader zet de tekst ervoor in de plaats?</w:t>
      </w:r>
      <w:r>
        <w:rPr/>
        <w:t xml:space="preserve"> Het nabije woord: God besnijdt het hart (30:6) en brengt het woord in je mond, hart en handen (30:11-14) — bereikbaar om te doen, en om door te geven.</w:t>
      </w:r>
    </w:p>
    <w:p>
      <w:pPr>
        <w:spacing w:lineRule="auto"/>
      </w:pPr>
      <w:r>
        <w:rPr>
          <w:b/>
        </w:rPr>
        <w:t xml:space="preserve">Welke concrete respons en vorming volgen?</w:t>
      </w:r>
      <w:r>
        <w:rPr/>
        <w:t xml:space="preserve"> Treden in het verbond; kiezen voor het leven; het woord hardop voorlezen en in de hand van je kind leggen (31:11-12); en de zelftoets — doe ik uit ontvangen nabijheid, of grijp ik en zegen ik mijzelf heimelijk?</w:t>
      </w:r>
    </w:p>
    <w:p>
      <w:pPr>
        <w:spacing w:lineRule="auto"/>
      </w:pPr>
      <w:r>
        <w:rPr>
          <w:b/>
        </w:rPr>
        <w:t xml:space="preserve">Kernzin: Het woord is niet ver — God bracht het nabij en maakte het hart vrij; dus tree binnen, kies, doe het, en geef het door.</w:t>
      </w:r>
    </w:p>
    <w:p>
      <w:pPr>
        <w:spacing w:lineRule="auto"/>
      </w:pPr>
      <w:r>
        <w:rPr>
          <w:b/>
        </w:rPr>
        <w:t xml:space="preserve">Horizon</w:t>
      </w:r>
      <w:r>
        <w:rPr/>
        <w:t xml:space="preserve"> (niet het thema van deze week, wel de grond): onder dit alles ligt ontvangen of grijpen. Het nabije-woord-om-te-doen is de ontvangen-vorm; het heimelijke zich-zegenen de gegrepen-vorm. In het evangelie wordt het nabije woord een Persoon (Joh. 12): een Mond die ‘niet uit Zichzelf’ spreekt, het Licht dat naar ons toe kwam.</w:t>
      </w:r>
    </w:p>
    <w:p>
      <w:pPr>
        <w:spacing w:lineRule="auto"/>
      </w:pPr>
      <w:r>
        <w:rPr/>
        <w:t xml:space="preserve">     parasja.nl — © Arie Alberts 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2026-09-20T08:45:22.524Z</dcterms:created>
  <dcterms:modified xsi:type="dcterms:W3CDTF">2026-09-20T08:45:22.524Z</dcterms:modified>
</cp:coreProperties>
</file>