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Werkblad</w:t>
      </w:r>
    </w:p>
    <w:p>
      <w:pPr>
        <w:pStyle w:val="Heading1"/>
        <w:spacing w:lineRule="auto"/>
      </w:pPr>
      <w:r>
        <w:rPr/>
        <w:t xml:space="preserve">Gerechtigheid najagen</w:t>
      </w:r>
    </w:p>
    <w:p>
      <w:pPr>
        <w:spacing w:lineRule="auto"/>
      </w:pPr>
      <w:r>
        <w:rPr>
          <w:b/>
        </w:rPr>
        <w:t xml:space="preserve">Tora:</w:t>
      </w:r>
      <w:r>
        <w:rPr/>
        <w:t xml:space="preserve"> Deuteronomium 16:18–21:9</w:t>
      </w:r>
    </w:p>
    <w:p>
      <w:pPr>
        <w:spacing w:lineRule="auto"/>
      </w:pPr>
      <w:r>
        <w:rPr/>
        <w:t xml:space="preserve">  ·  </w:t>
      </w:r>
    </w:p>
    <w:p>
      <w:pPr>
        <w:spacing w:lineRule="auto"/>
      </w:pPr>
      <w:r>
        <w:rPr>
          <w:b/>
        </w:rPr>
        <w:t xml:space="preserve">Haftara:</w:t>
      </w:r>
      <w:r>
        <w:rPr/>
        <w:t xml:space="preserve"> Jesaja 51:12–52:12</w:t>
      </w:r>
    </w:p>
    <w:p>
      <w:pPr>
        <w:spacing w:lineRule="auto"/>
      </w:pPr>
      <w:r>
        <w:rPr/>
        <w:t xml:space="preserve">  ·  </w:t>
      </w:r>
    </w:p>
    <w:p>
      <w:pPr>
        <w:spacing w:lineRule="auto"/>
      </w:pPr>
      <w:r>
        <w:rPr>
          <w:b/>
        </w:rPr>
        <w:t xml:space="preserve">Evangelie:</w:t>
      </w:r>
      <w:r>
        <w:rPr/>
        <w:t xml:space="preserve"> Johannes 14:9–20</w:t>
      </w:r>
    </w:p>
    <w:p>
      <w:pPr>
        <w:spacing w:lineRule="auto"/>
      </w:pPr>
      <w:r>
        <w:rPr/>
        <w:t xml:space="preserve">In Shoftim wordt alle gezag — rechter, koning, profeet, priester — door God gegeven, en juist daarom begrensd en toetsbaar. Rond het beeld van de koning die eigenhandig de Tora overschrijft, ‘opdat zijn hart zich niet verheft’, loopt de lezing naar een God die het leven beschermt tot in de oorlog toe, en naar Yeshua als het gezag dat ‘niet uit Zichzelf’ spreekt.</w:t>
      </w:r>
    </w:p>
    <w:p>
      <w:pPr>
        <w:spacing w:lineRule="auto"/>
      </w:pPr>
      <w:r>
        <w:rPr/>
        <w:t xml:space="preserve">Werk van boven naar beneden: eerst wáárnemen (A1), dan wégen (A2), dan diagnosticeren (A3), en pas dan samenvatten (A4). De waarneming gaat vóór de duiding, zodat je niet in de tekst legt wat je er even later uit haalt. Hieronder staat een volledig ingevuld voorbeeld bij Shoftim; gebruik het als model, en durf de open vragen en anomalieën ópen te laten.</w:t>
      </w:r>
    </w:p>
    <w:p>
      <w:pPr>
        <w:pStyle w:val="Heading2"/>
        <w:spacing w:lineRule="auto"/>
      </w:pPr>
      <w:r>
        <w:rPr/>
        <w:t xml:space="preserve">Basisgegevens</w:t>
      </w:r>
    </w:p>
    <w:p>
      <w:pPr>
        <w:spacing w:lineRule="auto"/>
      </w:pPr>
      <w:r>
        <w:rPr/>
        <w:t xml:space="preserve">→ Vul eerst de basis in: welk gedeelte, welke haftara, een eventuele flanklezing met haar status, en voor wie je dit maakt.</w:t>
      </w:r>
    </w:p>
    <w:p>
      <w:pPr>
        <w:spacing w:lineRule="auto"/>
      </w:pPr>
      <w:r>
        <w:rPr>
          <w:b/>
        </w:rPr>
        <w:t xml:space="preserve">Parasja / afbakening:</w:t>
      </w:r>
      <w:r>
        <w:rPr/>
        <w:t xml:space="preserve"> Shoftim — Deuteronomium 16:18–21:9</w:t>
      </w:r>
    </w:p>
    <w:p>
      <w:pPr>
        <w:spacing w:lineRule="auto"/>
      </w:pPr>
      <w:r>
        <w:rPr>
          <w:b/>
        </w:rPr>
        <w:t xml:space="preserve">Haftara / rituele plaats:</w:t>
      </w:r>
      <w:r>
        <w:rPr/>
        <w:t xml:space="preserve"> Jesaja 51:12–52:12 (derde troost-sjabbat; sjeva de-nechemta)</w:t>
      </w:r>
    </w:p>
    <w:p>
      <w:pPr>
        <w:spacing w:lineRule="auto"/>
      </w:pPr>
      <w:r>
        <w:rPr>
          <w:b/>
        </w:rPr>
        <w:t xml:space="preserve">Eventuele flanklezing en status:</w:t>
      </w:r>
      <w:r>
        <w:rPr/>
        <w:t xml:space="preserve"> Johannes 14:9–20 — nieuwtestamentische spiegeling, belijdend gebruikt (niet als peshat over de Tora).</w:t>
      </w:r>
    </w:p>
    <w:p>
      <w:pPr>
        <w:spacing w:lineRule="auto"/>
      </w:pPr>
      <w:r>
        <w:rPr>
          <w:b/>
        </w:rPr>
        <w:t xml:space="preserve">Doelgroep en gewenste vorm:</w:t>
      </w:r>
      <w:r>
        <w:rPr/>
        <w:t xml:space="preserve"> Studiegroep / gemeente · compacte studie en een gesproken lezing.</w:t>
      </w:r>
    </w:p>
    <w:p>
      <w:pPr>
        <w:pStyle w:val="Heading2"/>
        <w:spacing w:lineRule="auto"/>
      </w:pPr>
      <w:r>
        <w:rPr/>
        <w:t xml:space="preserve">A1. Tekstblokken en peshat</w:t>
      </w:r>
    </w:p>
    <w:p>
      <w:pPr>
        <w:spacing w:lineRule="auto"/>
      </w:pPr>
      <w:r>
        <w:rPr/>
        <w:t xml:space="preserve">→ Lees blok voor blok. Noteer eerst wat er stáát, dan het sleutelwoord of contrast, en pas dan een échte open vraag — nog zonder antwoord.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Tekstblok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Wat staat er? (peshat)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Sleutelwoorden / contrast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Open vraag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16:18–20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Stel rechters aan in al uw poorten; geen omkoping of aanzien; ‘gerechtigheid, gerechtigheid zult gij najagen’.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tzedek tzedek (2×) · najagen · rechtvaardige middelen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Waarom staat ‘gerechtigheid’ er twéé keer?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17:8–13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 moeilijke zaken gaan naar de hoge rechtbank op de gekozen plaats; de uitspraak is bindend.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hoge rechtbank · bindend gezag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Waarom niet ieder zijn eigen recht laten spreken?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17:14–20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koning die God kiest; geen paarden/vrouwen/goud; hij schrijft de Tora af en leest levenslang, ‘opdat zijn hart zich niet verheft’.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God kíest · afschrift van de Tora · hart niet verheffen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doet die grens mét het koningschap?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18:9–22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Geen waarzeggerij (niet zoals de volken); ‘oprecht zult gij zijn’; de profeet zoals Mozes, met de toets: komt zijn woord uit?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tamim/oprecht · gericht op God vs op zelf · profeet-toets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Als een teken uitkomt, is dat dan bewijs?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19:15–21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Twee of drie getuigen, niet één; naarstig onderzoek; de valse getuige; ‘oog om oog’ als evenredigheid.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twee getuigen · onderzoek · evenredigheid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‘oog om oog’ een aansporing of een gréns?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20:19–20; 21:1–9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Spaar de vruchtboom in de oorlog (‘is het veld een mens?’); bij een onopgeloste moord wassen de oudsten hun handen over onschuldig bloed.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grens in de oorlog · ‘onze handen… niet vergoten’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Waarom een grens juist waar macht het grootst is?</w:t>
            </w:r>
          </w:p>
        </w:tc>
      </w:tr>
    </w:tbl>
    <w:p>
      <w:pPr>
        <w:spacing w:lineRule="auto"/>
      </w:pPr>
      <w:r>
        <w:rPr/>
      </w:r>
    </w:p>
    <w:p>
      <w:pPr>
        <w:pStyle w:val="Heading2"/>
        <w:spacing w:lineRule="auto"/>
      </w:pPr>
      <w:r>
        <w:rPr/>
        <w:t xml:space="preserve">A2. Verbindende hypotheses</w:t>
      </w:r>
    </w:p>
    <w:p>
      <w:pPr>
        <w:spacing w:lineRule="auto"/>
      </w:pPr>
      <w:r>
        <w:rPr/>
        <w:t xml:space="preserve">→ Formuleer twee lezingen die de tekst zou kúnnen dragen, en kies met de toets: welke verklaart de meeste gegevens met de minste dwang? Benoem ook wat je lezing zou kunnen weerleggen.</w:t>
      </w:r>
    </w:p>
    <w:p>
      <w:pPr>
        <w:spacing w:lineRule="auto"/>
      </w:pPr>
      <w:r>
        <w:rPr>
          <w:b/>
        </w:rPr>
        <w:t xml:space="preserve">Hypothese 1 (één as):</w:t>
      </w:r>
      <w:r>
        <w:rPr/>
        <w:t xml:space="preserve"> het zwaartepunt is de Bron-as alleen — alle gezag komt van God (koning, profeet, priester). De grenzen zijn dan slechts uitwerking van die legitimiteit.</w:t>
      </w:r>
    </w:p>
    <w:p>
      <w:pPr>
        <w:spacing w:lineRule="auto"/>
      </w:pPr>
      <w:r>
        <w:rPr>
          <w:b/>
        </w:rPr>
        <w:t xml:space="preserve">Hypothese 2 (relatie):</w:t>
      </w:r>
      <w:r>
        <w:rPr/>
        <w:t xml:space="preserve"> het zwaartepunt is de relátie tussen Bron en Coherentie — gezag is gégeven, én juist daarom begrensd, toetsbaar en aanspreekbaar.</w:t>
      </w:r>
    </w:p>
    <w:p>
      <w:pPr>
        <w:spacing w:lineRule="auto"/>
      </w:pPr>
      <w:r>
        <w:rPr>
          <w:b/>
        </w:rPr>
        <w:t xml:space="preserve">Welke verklaart de meeste gegevens met de minste dwang?</w:t>
      </w:r>
      <w:r>
        <w:rPr/>
        <w:t xml:space="preserve"> Hypothese 2. Hypothese 1 verklaart de bron, maar maakt de overweldigende nadruk op grénzen (koning-onder-de-Tora, profeet-toets, getuigen, evenredigheid, de vruchtboom) tot bijzaak — dat kost dwang. Hypothese 2 verklaart beide, en de tekst enscenéert de koppeling zelf: 17:18–20 bindt de bron (God kiest de koning) aan de grens (hij schrijft de Tora af), en 18:15–22 bindt de legitimiteit van de profeet aan de toets.</w:t>
      </w:r>
    </w:p>
    <w:p>
      <w:pPr>
        <w:spacing w:lineRule="auto"/>
      </w:pPr>
      <w:r>
        <w:rPr>
          <w:b/>
        </w:rPr>
        <w:t xml:space="preserve">What would refute this reading?</w:t>
      </w:r>
      <w:r>
        <w:rPr/>
        <w:t xml:space="preserve"> Als 17:18–20 and 18:15–22 algemeen geaccepteerd worden als losstaande bepalingen, is de koppeling ingevoerd. Eerlijke grens: hypothese 2 riskeert een té nette synthese; de borging is dat die verzen bron én grens in één adem noemen.</w:t>
      </w:r>
    </w:p>
    <w:p>
      <w:pPr>
        <w:pStyle w:val="Heading2"/>
        <w:spacing w:lineRule="auto"/>
      </w:pPr>
      <w:r>
        <w:rPr/>
        <w:t xml:space="preserve">A3. Vier assen</w:t>
      </w:r>
    </w:p>
    <w:p>
      <w:pPr>
        <w:spacing w:lineRule="auto"/>
      </w:pPr>
      <w:r>
        <w:rPr/>
        <w:t xml:space="preserve">→ Vul per as de tekstankers en een korte diagnose in. Laat de laatste kolom staan voor wat je lezing níet glad strijkt — de anomalie die eerlijk openblijft.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Tekstankers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Diagnose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Open anomalie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17:15 (koning) · 18:15 (profeet) · 18:2 (priester)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Dominant. Alle gezag is gégeven, niet aangematigd; onwettige bronnen worden verworpen.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Waarom überhaupt een koning toestaan als het zo riskant 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17:14 (‘wanneer u in het land komt’)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Dun. Vooruitwijzing naar de toekomstige, ingestelde orde.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de zelf-verheffende koning verleden, of blijvende verleiding?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16:20 (najagen) · 16:18 (aanstellen) · 21:6 (handen wassen)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Begrensd-actief: gerechtigheid nájagen, ambten opríchten, verantwoordelijkheid drágen.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 loopt ‘najagen’ over in ‘grijpen’?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Coherentie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17:20 (hart niet verheffen) · 18:22 (toets) · 19:15,21 (getuigen, evenredigheid)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Dominant, grijpt in de Bron-as. Één stelsel van grenzen op macht; gezag blijft toetsbaar.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Hoe onderscheid je ‘corrigeerbaar’ van ‘voor alles vatbaar’?</w:t>
            </w:r>
          </w:p>
        </w:tc>
      </w:tr>
    </w:tbl>
    <w:p>
      <w:pPr>
        <w:spacing w:lineRule="auto"/>
      </w:pPr>
      <w:r>
        <w:rPr/>
      </w:r>
    </w:p>
    <w:p>
      <w:pPr>
        <w:spacing w:lineRule="auto"/>
      </w:pPr>
      <w:r>
        <w:rPr/>
        <w:t xml:space="preserve">Reactiviteit: mild aanwezig (‘niet zoals de volken’, 18:9) maar niet vooropgesteld — noteer dat als waarneming, en leg haar niet op.</w:t>
      </w:r>
    </w:p>
    <w:p>
      <w:pPr>
        <w:pStyle w:val="Heading2"/>
        <w:spacing w:lineRule="auto"/>
      </w:pPr>
      <w:r>
        <w:rPr/>
        <w:t xml:space="preserve">A4. Beweging</w:t>
      </w:r>
    </w:p>
    <w:p>
      <w:pPr>
        <w:spacing w:lineRule="auto"/>
      </w:pPr>
      <w:r>
        <w:rPr/>
        <w:t xml:space="preserve">→ Vat de beweging samen: wat ontmaskert de tekst, welk kader zet hij ervoor in de plaats, welke respons volgt, en vang het in één kernzin.</w:t>
      </w:r>
    </w:p>
    <w:p>
      <w:pPr>
        <w:spacing w:lineRule="auto"/>
      </w:pPr>
      <w:r>
        <w:rPr>
          <w:b/>
        </w:rPr>
        <w:t xml:space="preserve">Wat wordt ontmaskerd?</w:t>
      </w:r>
      <w:r>
        <w:rPr/>
        <w:t xml:space="preserve"> Gezag dat zich losmaakt van de bron en zichzelf tot maatstaf maakt — de koning wiens hart zich verheft (17:20), de aanmatigende profeet (18:20), de valse getuige (19:18).</w:t>
      </w:r>
    </w:p>
    <w:p>
      <w:pPr>
        <w:spacing w:lineRule="auto"/>
      </w:pPr>
      <w:r>
        <w:rPr>
          <w:b/>
        </w:rPr>
        <w:t xml:space="preserve">Welk kader zet de tekst ervoor in de plaats?</w:t>
      </w:r>
      <w:r>
        <w:rPr/>
        <w:t xml:space="preserve"> Gezag dat gegeven is en zich juist daarom laat toetsen: onder de Tora, met getuigen, evenredig, aanspreekbaar — als een broeder onder broeders.</w:t>
      </w:r>
    </w:p>
    <w:p>
      <w:pPr>
        <w:spacing w:lineRule="auto"/>
      </w:pPr>
      <w:r>
        <w:rPr>
          <w:b/>
        </w:rPr>
        <w:t xml:space="preserve">Welke concrete respons en vorming volgen?</w:t>
      </w:r>
      <w:r>
        <w:rPr/>
        <w:t xml:space="preserve"> Gerechtigheid nájagen met rechtvaardige middelen; je plaats óntvangen en eronder blijven; verantwoordelijkheid drágen, ook voor bloed dat niet aan je handen kleeft.</w:t>
      </w:r>
    </w:p>
    <w:p>
      <w:pPr>
        <w:spacing w:lineRule="auto"/>
      </w:pPr>
      <w:r>
        <w:rPr>
          <w:b/>
        </w:rPr>
        <w:t xml:space="preserve">Kernzin:</w:t>
      </w:r>
      <w:r>
        <w:rPr/>
        <w:t xml:space="preserve">Gerechtigheid najagen: gezag dat gegeven is, en juist daarom begrensd en aanspreekbaar.</w:t>
      </w:r>
    </w:p>
    <w:p>
      <w:pPr>
        <w:spacing w:lineRule="auto"/>
      </w:pPr>
      <w:r>
        <w:rPr/>
        <w:t xml:space="preserve">Horizon (niet het thema van deze week, wel de grond): onder dit alles ligt de ene vraag — ontvangen of gegrepen. Zelf-aangematigd gezag is de gegrepen-vorm; ontvangen, toetsbaar gezag de ontvangen-vorm. De tekst drukte deze keer het hardst op de Bron–Coherentie-relatie.</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