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Documento de Gestión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widowControl w:val="0"/>
        <w:spacing w:after="40" w:before="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PROYECTO: “DemandSync”</w:t>
      </w:r>
    </w:p>
    <w:p w:rsidR="00000000" w:rsidDel="00000000" w:rsidP="00000000" w:rsidRDefault="00000000" w:rsidRPr="00000000" w14:paraId="00000006">
      <w:pPr>
        <w:pStyle w:val="Title"/>
        <w:pageBreakBefore w:val="0"/>
        <w:widowControl w:val="0"/>
        <w:spacing w:after="40" w:before="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ageBreakBefore w:val="0"/>
        <w:widowControl w:val="0"/>
        <w:spacing w:after="40" w:before="40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ageBreakBefore w:val="0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Integrantes – Año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01"/>
        <w:gridCol w:w="3119"/>
        <w:gridCol w:w="3685"/>
        <w:tblGridChange w:id="0">
          <w:tblGrid>
            <w:gridCol w:w="1701"/>
            <w:gridCol w:w="3119"/>
            <w:gridCol w:w="3685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A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B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C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172479-4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Santiago Maffini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203714-2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Ariel Habib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176156-0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Alejo Gurfein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171650-5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 Judzik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173262-6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Ian Feldman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iafeldman@frba.utn.edu.ar</w:t>
            </w:r>
          </w:p>
        </w:tc>
      </w:tr>
    </w:tbl>
    <w:p w:rsidR="00000000" w:rsidDel="00000000" w:rsidP="00000000" w:rsidRDefault="00000000" w:rsidRPr="00000000" w14:paraId="0000001C">
      <w:pPr>
        <w:pStyle w:val="Title"/>
        <w:pageBreakBefore w:val="0"/>
        <w:spacing w:after="60" w:before="240" w:lineRule="auto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pageBreakBefore w:val="0"/>
        <w:spacing w:after="60" w:before="240" w:lineRule="auto"/>
        <w:rPr>
          <w:rFonts w:ascii="Arial" w:cs="Arial" w:eastAsia="Arial" w:hAnsi="Arial"/>
          <w:i w:val="1"/>
          <w:iCs w:val="1"/>
          <w:sz w:val="32"/>
          <w:szCs w:val="32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Profesores: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Director de Cátedra: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Mag. Ing. Gabriela Salem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Profesor a cargo del curso: “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Nombre del profesor/Ayudante a cargo del curso”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Profesor a cargo del proyecto: “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Nombre del profesor/Ayudante a cargo del proyecto”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spacing w:before="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spacing w:before="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41.73228346456688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siguiente documento tiene como objetivo describir los riesgos presentes en la realización del proyecto “DemandSync”, incluyendo el contexto en que se encuentran, su probabilidad de ocurrencia, impacto y exposición, además de plantear el plan de acción a seguir ante cada uno para reducir o eliminar sus consecuencias.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41.73228346456688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1"/>
        </w:numPr>
        <w:ind w:left="283.46456692913375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Lista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20.0" w:type="dxa"/>
        <w:jc w:val="left"/>
        <w:tblInd w:w="-1338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630"/>
        <w:gridCol w:w="3345"/>
        <w:gridCol w:w="915"/>
        <w:gridCol w:w="3315"/>
        <w:gridCol w:w="1455"/>
        <w:gridCol w:w="1095"/>
        <w:gridCol w:w="1665"/>
        <w:gridCol w:w="1785"/>
        <w:gridCol w:w="1515"/>
        <w:tblGridChange w:id="0">
          <w:tblGrid>
            <w:gridCol w:w="630"/>
            <w:gridCol w:w="3345"/>
            <w:gridCol w:w="915"/>
            <w:gridCol w:w="3315"/>
            <w:gridCol w:w="1455"/>
            <w:gridCol w:w="1095"/>
            <w:gridCol w:w="1665"/>
            <w:gridCol w:w="1785"/>
            <w:gridCol w:w="15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Probabilidad de Ocurrencia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Exposición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 de Acción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Vigente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Distorsión en las predicciones de stock debido a la extrema volatilidad inflacionaria en Argentina, provocando sugerencias erróneas de sobre-stockeo.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se está desarrollando en un entorno macroeconómico inestable (Argentina, 2026). Supuesto: Se alimentan índices de inflación al modelo predictivo, asumiendo que estos correlacionan linealmente con el comportamiento de compra de las veterinarias.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Pérdida rápida de precisión del modelo debido a cambios bruscos en patrones de consumo veterinario (modas, nuevas normativas o estacionalidades atípicas).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rubro de distribución veterinaria está sujeto a variables biológicas (epidemias estacionales) y regulatorias. Restricción: El modelo inicial se entrena con un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snapshot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estático que puede caducar rápido 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 predicciones sesgadas o erróneas en el pipeline de ML debido a datos históricos sucios, incompletos o mal imputados en el ERP actual de DFV.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Dependencia total de la infraestructura y prácticas de carga de datos heredadas. Supuesto: Los datos pasados reflejan demanda real, cuando en realidad podrían reflejar falta de stock temporal no registrada.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Degradación del rendimiento de las consultas y aumento de latencia al escalar el volumen de proyecciones y documentos gestionados por pgvector.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intensivo de RAG y búsquedas semánticas para el agente de inteligencia de negocio. Restricción: pgvector sin optimizar escanea toda la base secuencialmente.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del producto excesivamente acoplada a la lógica interna y procesos específicos de DFV, impidiendo que el software escale como producto "enlatado" para otros clientes.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ágil iterando de cerca con el primer cliente. Riesgo de codificar reglas de negocio  en lugar de parametrizarlas.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Falsos Positivos en Alertas de Quiebre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algoritmo reacciona desproporcionadamente a micro-tendencias.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Falla en el cálculo del stock de seguridad porque el algoritmo asume tiempos de entrega de proveedores estáticos, generando quiebres si el laboratorio se retrasa.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laboratorios veterinarios tienen cadenas logísticas con variabilidad impredecible.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algoritmo prioriza agresivamente la salida de lotes próximos a vencer, desplazando la atención y el espacio logístico de los productos de alta rotación, desabasteciendo la demanda real.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Manejo de perecederos veterinarios. Existe una tensión entre minimizar mermas por vencimiento y maximizar la facturación.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spacing w:after="80" w:before="280" w:lineRule="auto"/>
              <w:ind w:lef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heading=h.9bahhk60g0c" w:id="6"/>
            <w:bookmarkEnd w:id="6"/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Resistencia al Cambio:Los responsables de compras desestiman las sugerencias del sistema de soporte de decisiones, prefiriendo basarse en su intuición y métodos tradicionales.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Fuerza de ventas y compras acostumbrada a procesos manuales. Supuesto: Falta de confianza inicial en la "caja negra" de la inteligencia artificial.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after="80" w:before="280" w:lineRule="auto"/>
              <w:ind w:lef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heading=h.9bahhk60g0c" w:id="6"/>
            <w:bookmarkEnd w:id="6"/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infraestructura del ERP del cliente no permite extracciones limpias de datos ni ofrece endpoints estructurados para mantener el DSS sincronizado de forma periódica.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Posibilidad de encontrarse con bases de datos legadas o sistemas cerrados que no facilitan la interoperabilidad.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PA-003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80" w:before="280" w:lineRule="auto"/>
              <w:ind w:lef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heading=h.9bahhk60g0c" w:id="6"/>
            <w:bookmarkEnd w:id="6"/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Seguridad de Datos Sensibles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maneja el "core" financiero de la distribuidora. Exponer servicios web aumenta inherentemente la superficie de ataque.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1694.8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after="80" w:before="280" w:lineRule="auto"/>
              <w:ind w:lef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heading=h.9bahhk60g0c" w:id="6"/>
            <w:bookmarkEnd w:id="6"/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se estanca y no capitaliza de los errores pasados por carecer de un mecanismo automatizado que retroalimente el modelo con los desvíos entre la predicción y el consumo real.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10/5/26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Riesgo inherente de tratar un proyecto de Machine Learning como un despliegue de software tradicional (Desplegar y olvidarse)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A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ageBreakBefore w:val="0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Planes de Acción</w:t>
      </w:r>
    </w:p>
    <w:p w:rsidR="00000000" w:rsidDel="00000000" w:rsidP="00000000" w:rsidRDefault="00000000" w:rsidRPr="00000000" w14:paraId="000000A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 de los planes de acción definidos para los riesgos de mayor exposición.</w:t>
      </w:r>
    </w:p>
    <w:p w:rsidR="00000000" w:rsidDel="00000000" w:rsidP="00000000" w:rsidRDefault="00000000" w:rsidRPr="00000000" w14:paraId="000000A4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060.0" w:type="dxa"/>
        <w:jc w:val="center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35"/>
        <w:gridCol w:w="1395"/>
        <w:gridCol w:w="3945"/>
        <w:gridCol w:w="3675"/>
        <w:gridCol w:w="2010"/>
        <w:tblGridChange w:id="0">
          <w:tblGrid>
            <w:gridCol w:w="1035"/>
            <w:gridCol w:w="1395"/>
            <w:gridCol w:w="3945"/>
            <w:gridCol w:w="3675"/>
            <w:gridCol w:w="20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Estrategia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 de la Acción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Disparadores del Plan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límites por software al presupuesto automatizable y suavizado de series temporales. Añadir validación manual obligatoria para sugerencias de compra que superen la media histórica de la distribuidora.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 predicción de orden de compra supera el umbral predefinido (ej. +2 desviaciones estándar) o se registran picos inflacionarios anómalos.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una arquitectura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Data Flywheel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Almacenar métricas de predicción para cruzarlas periódicamente con consumos reales y configurar alertas sobre métricas de error para reentrenar el modelo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métrica de error (RMSE/MAPE) supera el umbral de tolerancia establecido en el entorno de producción durante más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días continuos.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Machine Learning Specialist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scripts de extracción asíncronos (Cron jobs) y conectores agnósticos. Limpiar la data mediante reglas de negocio estrictas antes de ingestarla en PostgreSQL para evitar el "basura entra, basura sale".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Detección de un alto porcentaje de valores nulos/inválidos en la base del ERP, o caídas en la sincronización de datos nocturna.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40" w:before="40" w:line="288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índices de búsqueda aproximada (HNSW o IVFFlat) en las columnas de embeddings gestionadas por vector. Establecer métricas y logs de latencia para las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queries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tiempos de respuesta de la base de datos superan los 2 segundos durante el uso del agente.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40" w:before="40" w:line="288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9.80468749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Abstraer las condiciones comerciales a través de archivos o configuraciones JSON mockeadas y asegurar que FastAPI exponga endpoints modulares, evitando codificar reglas duras ("hardcode") del cliente actual.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Identificación de lógica acoplada exclusivamente a procesos de DFV durante las revisiones de código (Code Reviews).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40" w:before="40" w:line="288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Analista Funcional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Reemplazar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Lead Time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estático por distribuciones probabilísticas según el proveedor y ajustar la función de costo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Loss Function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para equilibrar el riesgo de vencimientos versus quiebre de stock de los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fast-movers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Aumento anómalo en mermas por caducidad o quejas por desabastecimiento de productos de alta rotación por retrasos de laboratorios.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Machine Learning Specialist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Desplegar el sistema en modo lectura comparativa. Generar reportes que contrasten el accionar manual de los compradores contra la sugerencia del algoritmo para demostrar el ROI y generar confianza.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 tasa de adopción del sistema por parte de la fuerza de ventas/compras o reportes de desconfianza hacia las predicciones.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validaciones robustas mediante Pydantic, autenticación OAuth2 con tokens JWT de corta duración y encriptado en tránsito y en reposo para proteger la información comercial sensible.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Intentos de acceso no autorizados en los logs, auditorías de seguridad, o inicio de la fase de despliegue a producción.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Analista Funcional</w:t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pageBreakBefore w:val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ageBreakBefore w:val="0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Criterios</w:t>
      </w:r>
    </w:p>
    <w:p w:rsidR="00000000" w:rsidDel="00000000" w:rsidP="00000000" w:rsidRDefault="00000000" w:rsidRPr="00000000" w14:paraId="000000D4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sección se describen los criterios adoptados para la gestión de riesgos.</w:t>
      </w:r>
    </w:p>
    <w:p w:rsidR="00000000" w:rsidDel="00000000" w:rsidP="00000000" w:rsidRDefault="00000000" w:rsidRPr="00000000" w14:paraId="000000D5">
      <w:pPr>
        <w:pStyle w:val="Heading2"/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pageBreakBefore w:val="0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 Probabilidad, Impacto y Exposición</w:t>
      </w:r>
    </w:p>
    <w:p w:rsidR="00000000" w:rsidDel="00000000" w:rsidP="00000000" w:rsidRDefault="00000000" w:rsidRPr="00000000" w14:paraId="000000D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adopta un enfoque cualitativo, por lo que los atributos de Probabilidad de Ocurrencia e Impacto se clasifican en Alto, Medio, Bajo. A su vez la Exposición se calcula en función de la siguiente matriz.</w:t>
      </w:r>
    </w:p>
    <w:p w:rsidR="00000000" w:rsidDel="00000000" w:rsidP="00000000" w:rsidRDefault="00000000" w:rsidRPr="00000000" w14:paraId="000000D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center"/>
        <w:tblLayout w:type="fixed"/>
        <w:tblLook w:val="0600"/>
      </w:tblPr>
      <w:tblGrid>
        <w:gridCol w:w="2622"/>
        <w:gridCol w:w="2197"/>
        <w:gridCol w:w="2127"/>
        <w:gridCol w:w="2126"/>
        <w:tblGridChange w:id="0">
          <w:tblGrid>
            <w:gridCol w:w="2622"/>
            <w:gridCol w:w="2197"/>
            <w:gridCol w:w="2127"/>
            <w:gridCol w:w="21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7e6e6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Probabilidad de Ocurrencia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7e6e6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Moderado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Tolerable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Moderado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Tolerable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Tolerable</w:t>
            </w:r>
          </w:p>
        </w:tc>
      </w:tr>
    </w:tbl>
    <w:p w:rsidR="00000000" w:rsidDel="00000000" w:rsidP="00000000" w:rsidRDefault="00000000" w:rsidRPr="00000000" w14:paraId="000000E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ageBreakBefore w:val="0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pageBreakBefore w:val="0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4.1. Estrategias</w:t>
      </w:r>
    </w:p>
    <w:p w:rsidR="00000000" w:rsidDel="00000000" w:rsidP="00000000" w:rsidRDefault="00000000" w:rsidRPr="00000000" w14:paraId="000000F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partir de la Lista de Riesgos priorizada y los atributos de probabilidad de ocurrencia e impacto, se deberá seleccionar una estrategia para los riesgos a tratar, y en consecuencia el plan de acción.</w:t>
      </w:r>
    </w:p>
    <w:p w:rsidR="00000000" w:rsidDel="00000000" w:rsidP="00000000" w:rsidRDefault="00000000" w:rsidRPr="00000000" w14:paraId="000000F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estrategias posibles son: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Evitar: Cambiar el plan de proyecto para eliminar el riesgo, se evita totalmente.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Transferir: trasladar las consecuencias (impacto) del riesgo a una tercera parte, conjuntamente con la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Mitigar: reducir la probabilidad de ocurrencia de o el impacto del riesgo a niveles aceptables a través de acciones tempranas.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Aceptar: el equipo de proyecto decide aceptar las consecuencias (impacto) del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jc w:val="left"/>
        <w:rPr>
          <w:rFonts w:ascii="Arial" w:cs="Arial" w:eastAsia="Arial" w:hAnsi="Arial"/>
        </w:rPr>
      </w:pPr>
      <w:bookmarkStart w:colFirst="0" w:colLast="0" w:name="_heading=h.g0lgo8iz0v88" w:id="7"/>
      <w:bookmarkEnd w:id="7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|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tabs>
        <w:tab w:val="left" w:leader="none" w:pos="708"/>
      </w:tabs>
      <w:spacing w:after="0" w:line="240" w:lineRule="auto"/>
      <w:jc w:val="right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tabs>
        <w:tab w:val="left" w:leader="none" w:pos="389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FA">
          <w:pPr>
            <w:spacing w:after="0" w:line="240" w:lineRule="auto"/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0" distR="0">
                <wp:extent cx="854075" cy="59499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F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FD">
          <w:pPr>
            <w:tabs>
              <w:tab w:val="left" w:leader="none" w:pos="1135"/>
            </w:tabs>
            <w:spacing w:after="0" w:line="240" w:lineRule="auto"/>
            <w:ind w:right="68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1019175" cy="5588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FE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FF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01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02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3">
          <w:pPr>
            <w:spacing w:after="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104">
          <w:pPr>
            <w:spacing w:after="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12/05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05">
          <w:pPr>
            <w:widowControl w:val="0"/>
            <w:spacing w:after="0"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tabs>
        <w:tab w:val="left" w:leader="none" w:pos="389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  <w:ind w:left="432" w:hanging="432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  <w:ind w:left="576" w:hanging="576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Rule="auto"/>
      <w:ind w:left="720" w:hanging="720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  <w:ind w:left="1008" w:hanging="1008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WZOAVrtf7xLMBe1+d47d/wUQ6g==">CgMxLjAyCGguZ2pkZ3hzMgloLjMwajB6bGwyCWguMWZvYjl0ZTIJaC4zem55c2g3MgloLjJldDkycDAyCGgudHlqY3d0Mg1oLjliYWhoazYwZzBjMg1oLjliYWhoazYwZzBjMg1oLjliYWhoazYwZzBjMg1oLjliYWhoazYwZzBjMg5oLmcwbGdvOGl6MHY4ODgAciExVGs1TVlrclhCaUo1OHhidFNBVjlkTi16R0FIZ3h0R1Q=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