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44A3" w14:textId="77777777" w:rsidR="00BB2BAA" w:rsidRDefault="00BB2BAA" w:rsidP="00BB2BAA">
      <w:pPr>
        <w:spacing w:line="480" w:lineRule="auto"/>
        <w:jc w:val="both"/>
        <w:rPr>
          <w:b/>
        </w:rPr>
      </w:pPr>
      <w:r>
        <w:rPr>
          <w:b/>
        </w:rPr>
        <w:t>NAPS2 Cohort</w:t>
      </w:r>
    </w:p>
    <w:p w14:paraId="464AC914" w14:textId="425C04AE" w:rsidR="00BB2BAA" w:rsidRDefault="00BB2BAA" w:rsidP="00BB2BAA">
      <w:pPr>
        <w:spacing w:line="480" w:lineRule="auto"/>
        <w:jc w:val="both"/>
      </w:pPr>
      <w:r>
        <w:t xml:space="preserve">The NAPS2 cohort has been described previously </w:t>
      </w:r>
      <w:r>
        <w:fldChar w:fldCharType="begin"/>
      </w:r>
      <w:r>
        <w:instrText>ADDIN F1000_CSL_CITATION&lt;~#@#~&gt;[{"DOI":"10.1159/000152001","First":false,"Last":false,"PMCID":"PMC2790781","PMID":"18765957","abstract":"&lt;strong&gt;BACKGROUND:&lt;/strong&gt; Recurrent acute pancreatitis (RAP) and chronic pancreatitis (CP) are complex syndromes associated with numerous etiologies, clinical variables and complications. We developed the North American Pancreatitis Study 2 (NAPS2) to be sufficiently powered to understand the complex environmental, metabolic and genetic mechanisms underlying RAP and CP.\n&lt;br&gt;\n&lt;br&gt;\n&lt;strong&gt;METHODS:&lt;/strong&gt; Between August 2000 and September 2006, a consortium of 20 expert academic and private sites prospectively ascertained 1,000 human subjects with RAP or CP, plus 695 controls (spouse, family, friend or unrelated). Standardized questionnaires were completed by both the physicians and study subjects and blood was drawn for genomic DNA and biomarker studies. All data were double-entered into a database and systematically reviewed to minimize errors and include missing data.\n&lt;br&gt;\n&lt;br&gt;\n&lt;strong&gt;RESULTS:&lt;/strong&gt; A total of 1,000 subjects (460 RAP, 540 CP) and 695 controls who completed consent forms and questionnaires and donated blood samples comprised the final dataset. Data were organized according to diagnosis, supporting documentation, etiological classification, clinical signs and symptoms (including pain patterns and duration, and quality of life), past medical history, family history, environmental exposures (including alcohol and tobacco use), medication use and therapeutic interventions. Upon achieving the target enrollment, data were organized and classified to facilitate future analysis. The approaches, rationale and datasets are described, along with final demographic results.\n&lt;br&gt;\n&lt;br&gt;\n&lt;strong&gt;CONCLUSION:&lt;/strong&gt; The NAPS2 consortium has successfully completed a prospective ascertainment of 1,000 subjects with RAP and CP from the USA. These data will be useful in elucidating the environmental, metabolic and genetic conditions, and to investigate the complex interactions that underlie RAP and CP.\n&lt;br&gt;\n&lt;br&gt;Copyright 2008 S. Karger AG, Basel.","author":[{"family":"Whitcomb","given":"David C"},{"family":"Yadav","given":"Dhiraj"},{"family":"Adam","given":"Slivka"},{"family":"Hawes","given":"Robert H"},{"family":"Brand","given":"Randall E"},{"family":"Anderson","given":"Michelle A"},{"family":"Money","given":"Mary E"},{"family":"Banks","given":"Peter A"},{"family":"Bishop","given":"Michele D"},{"family":"Baillie","given":"John"},{"family":"Sherman","given":"Stuart"},{"family":"DiSario","given":"James"},{"family":"Burton","given":"Frank R"},{"family":"Gardner","given":"Timothy B"},{"family":"Amann","given":"Stephen T"},{"family":"Gelrud","given":"Andres"},{"family":"Lo","given":"Simon K"},{"family":"DeMeo","given":"Mark T"},{"family":"Steinberg","given":"William M"},{"family":"Kochman","given":"Michael L"},{"family":"Etemad","given":"Babak"},{"family":"Forsmark","given":"Christopher E"},{"family":"Elinoff","given":"Beth"},{"family":"Greer","given":"Julia B"},{"family":"O'Connell","given":"Michael"},{"family":"Lamb","given":"Janette"},{"family":"Barmada","given":"M Michael"},{"family":"North American Pancreatic Study Group"}],"authorYearDisplayFormat":false,"citation-label":"827045","container-title":"Pancreatology","container-title-short":"Pancreatology","id":"827045","invisible":false,"issue":"4-5","issued":{"date-parts":[["2008","9","3"]]},"journalAbbreviation":"Pancreatology","page":"520-531","suppress-author":false,"title":"Multicenter approach to recurrent acute and chronic pancreatitis in the United States: the North American Pancreatitis Study 2 (NAPS2).","type":"article-journal","volume":"8"}]</w:instrText>
      </w:r>
      <w:r>
        <w:fldChar w:fldCharType="separate"/>
      </w:r>
      <w:r w:rsidRPr="00BB2BAA">
        <w:rPr>
          <w:noProof/>
        </w:rPr>
        <w:t>(Whitcomb et al. 2008)</w:t>
      </w:r>
      <w:r>
        <w:fldChar w:fldCharType="end"/>
      </w:r>
      <w:r>
        <w:t>. Briefly, the NAPS2 cohort was designed to be a well powered cohort of RAP and CP individuals for the purpose of investigating the genetic, environmental, and metabolic components</w:t>
      </w:r>
      <w:bookmarkStart w:id="0" w:name="_GoBack"/>
      <w:bookmarkEnd w:id="0"/>
      <w:r>
        <w:t xml:space="preserve"> of RAP and CP. 1492 individuals with pancreatitis (3 AP, 510 RAP, and 979 CP) and 869 controls. </w:t>
      </w:r>
    </w:p>
    <w:p w14:paraId="3E10D005" w14:textId="77777777" w:rsidR="00BB2BAA" w:rsidRDefault="00BB2BAA" w:rsidP="00BB2BAA">
      <w:pPr>
        <w:spacing w:line="480" w:lineRule="auto"/>
        <w:jc w:val="both"/>
        <w:rPr>
          <w:b/>
        </w:rPr>
      </w:pPr>
      <w:r w:rsidRPr="008B1054">
        <w:rPr>
          <w:b/>
        </w:rPr>
        <w:t>Inclusion criteria</w:t>
      </w:r>
    </w:p>
    <w:p w14:paraId="26091BCC" w14:textId="45F2B19E" w:rsidR="00BB2BAA" w:rsidRDefault="00BB2BAA" w:rsidP="00BB2BAA">
      <w:pPr>
        <w:spacing w:line="480" w:lineRule="auto"/>
        <w:jc w:val="both"/>
      </w:pPr>
      <w:r>
        <w:t xml:space="preserve">AP was defined as at least two of the following three criteria: abdominal pain, elevated amylase or lipase &gt; 3 times the upper limit of the normal range, or abdominal imaging findings consistent with AP. RAP was defined as two or more documented episodes of AP without evidence of CP on imaging. CP was defined as definitive evidence of CP by imaging using endoscopic retrograde cholangiopancreatography according to the Cambridge classification or by CT scan </w:t>
      </w:r>
      <w:r>
        <w:fldChar w:fldCharType="begin"/>
      </w:r>
      <w:r>
        <w:instrText>ADDIN F1000_CSL_CITATION&lt;~#@#~&gt;[{"DOI":"10.1136/gut.25.7.756","First":false,"Last":false,"PMCID":"PMC1432589","PMID":"6735257","abstract":"An international group of doctors interested in pancreatic disease met in Cambridge in March 1983, under the auspices of the Pancreatic Society of Great Britain and Ireland, to discuss the classification of pancreatitis in the light of developments that have taken place in the 20 years since the crucial conference in Marseille.","author":[{"family":"Sarner","given":"M"},{"family":"Cotton","given":"P B"}],"authorYearDisplayFormat":false,"citation-label":"7022639","container-title":"Gut","container-title-short":"Gut","id":"7022639","invisible":false,"issue":"7","issued":{"date-parts":[["1984","7"]]},"journalAbbreviation":"Gut","page":"756-759","suppress-author":false,"title":"Classification of pancreatitis.","type":"article-journal","volume":"25"}]</w:instrText>
      </w:r>
      <w:r>
        <w:fldChar w:fldCharType="separate"/>
      </w:r>
      <w:r w:rsidRPr="00BB2BAA">
        <w:rPr>
          <w:noProof/>
        </w:rPr>
        <w:t>(Sarner and Cotton 1984)</w:t>
      </w:r>
      <w:r>
        <w:fldChar w:fldCharType="end"/>
      </w:r>
      <w:r>
        <w:t>. Subjects matching the criteria for AP, RAP, or CP were designated as cases, subjects that did not match the criteria for AP, RAP, or CP were designated as controls.</w:t>
      </w:r>
    </w:p>
    <w:p w14:paraId="467C1BA1" w14:textId="77777777" w:rsidR="00BB2BAA" w:rsidRPr="004D57D2" w:rsidRDefault="00BB2BAA" w:rsidP="00BB2BAA">
      <w:pPr>
        <w:spacing w:line="480" w:lineRule="auto"/>
        <w:jc w:val="both"/>
        <w:rPr>
          <w:b/>
          <w:bCs/>
        </w:rPr>
      </w:pPr>
      <w:r w:rsidRPr="004D57D2">
        <w:rPr>
          <w:b/>
          <w:bCs/>
        </w:rPr>
        <w:t>Exclusion criteria</w:t>
      </w:r>
    </w:p>
    <w:p w14:paraId="223CC402" w14:textId="77777777" w:rsidR="00BB2BAA" w:rsidRPr="008B1054" w:rsidRDefault="00BB2BAA" w:rsidP="00BB2BAA">
      <w:pPr>
        <w:spacing w:line="480" w:lineRule="auto"/>
        <w:jc w:val="both"/>
      </w:pPr>
      <w:r>
        <w:t>Thirty-six Individuals were duplicates and were excluded from the analysis. Five individuals were excluded from the analysis after demonstrating cryptic relatedness with &gt;50 individuals with a relatedness score &gt; 0.2.</w:t>
      </w:r>
    </w:p>
    <w:p w14:paraId="1038565F" w14:textId="77777777" w:rsidR="00BB2BAA" w:rsidRDefault="00BB2BAA" w:rsidP="00BB2BAA">
      <w:pPr>
        <w:spacing w:line="480" w:lineRule="auto"/>
        <w:jc w:val="both"/>
        <w:rPr>
          <w:b/>
        </w:rPr>
      </w:pPr>
      <w:r>
        <w:rPr>
          <w:b/>
        </w:rPr>
        <w:t>Genotyping</w:t>
      </w:r>
    </w:p>
    <w:p w14:paraId="5C564597" w14:textId="77777777" w:rsidR="00BB2BAA" w:rsidRPr="00E55650" w:rsidRDefault="00BB2BAA" w:rsidP="00BB2BAA">
      <w:pPr>
        <w:spacing w:line="480" w:lineRule="auto"/>
        <w:jc w:val="both"/>
      </w:pPr>
      <w:r>
        <w:t xml:space="preserve">Individuals’ single nucleotide polymorphisms (SNPs) were </w:t>
      </w:r>
      <w:r w:rsidRPr="002B450D">
        <w:t xml:space="preserve">genotyped using </w:t>
      </w:r>
      <w:r w:rsidRPr="002B450D">
        <w:rPr>
          <w:rFonts w:cs="Times New Roman"/>
        </w:rPr>
        <w:t xml:space="preserve">the </w:t>
      </w:r>
      <w:r w:rsidRPr="002B450D">
        <w:rPr>
          <w:rFonts w:cs="Times New Roman"/>
          <w:color w:val="222222"/>
          <w:shd w:val="clear" w:color="auto" w:fill="FFFFFF"/>
        </w:rPr>
        <w:t xml:space="preserve">Illumina </w:t>
      </w:r>
      <w:proofErr w:type="spellStart"/>
      <w:r w:rsidRPr="002B450D">
        <w:rPr>
          <w:rFonts w:cs="Times New Roman"/>
          <w:color w:val="222222"/>
          <w:shd w:val="clear" w:color="auto" w:fill="FFFFFF"/>
        </w:rPr>
        <w:t>HumanOmniExpress</w:t>
      </w:r>
      <w:proofErr w:type="spellEnd"/>
      <w:r w:rsidRPr="002B450D">
        <w:rPr>
          <w:rFonts w:cs="Times New Roman"/>
          <w:color w:val="222222"/>
          <w:shd w:val="clear" w:color="auto" w:fill="FFFFFF"/>
        </w:rPr>
        <w:t xml:space="preserve"> </w:t>
      </w:r>
      <w:proofErr w:type="spellStart"/>
      <w:r w:rsidRPr="002B450D">
        <w:rPr>
          <w:rFonts w:cs="Times New Roman"/>
          <w:color w:val="222222"/>
          <w:shd w:val="clear" w:color="auto" w:fill="FFFFFF"/>
        </w:rPr>
        <w:t>BeadChip</w:t>
      </w:r>
      <w:proofErr w:type="spellEnd"/>
      <w:r w:rsidRPr="002B450D">
        <w:rPr>
          <w:rFonts w:cs="Times New Roman"/>
        </w:rPr>
        <w:t xml:space="preserve"> and </w:t>
      </w:r>
      <w:r w:rsidRPr="002B450D">
        <w:t xml:space="preserve">Illumina </w:t>
      </w:r>
      <w:proofErr w:type="spellStart"/>
      <w:r w:rsidRPr="002B450D">
        <w:t>HumanCoreExome</w:t>
      </w:r>
      <w:proofErr w:type="spellEnd"/>
      <w:r w:rsidRPr="002B450D">
        <w:t xml:space="preserve"> </w:t>
      </w:r>
      <w:proofErr w:type="spellStart"/>
      <w:r w:rsidRPr="002B450D">
        <w:t>BeadChip</w:t>
      </w:r>
      <w:proofErr w:type="spellEnd"/>
      <w:r>
        <w:t>, Illumina, San Diego, CA</w:t>
      </w:r>
      <w:r w:rsidRPr="002B450D">
        <w:t>.</w:t>
      </w:r>
    </w:p>
    <w:p w14:paraId="74B88BD7" w14:textId="77777777" w:rsidR="00BB2BAA" w:rsidRDefault="00BB2BAA" w:rsidP="00BB2BAA">
      <w:pPr>
        <w:spacing w:line="480" w:lineRule="auto"/>
        <w:jc w:val="both"/>
        <w:rPr>
          <w:b/>
        </w:rPr>
      </w:pPr>
      <w:r>
        <w:rPr>
          <w:b/>
        </w:rPr>
        <w:t>Imputation</w:t>
      </w:r>
    </w:p>
    <w:p w14:paraId="66D9BD13" w14:textId="3B7F8F17" w:rsidR="00BB2BAA" w:rsidRDefault="00BB2BAA" w:rsidP="00BB2BAA">
      <w:pPr>
        <w:spacing w:line="480" w:lineRule="auto"/>
        <w:jc w:val="both"/>
      </w:pPr>
      <w:r>
        <w:lastRenderedPageBreak/>
        <w:t xml:space="preserve">Genotyped SNPs from the </w:t>
      </w:r>
      <w:r w:rsidRPr="002B450D">
        <w:rPr>
          <w:rFonts w:cs="Times New Roman"/>
          <w:color w:val="222222"/>
          <w:shd w:val="clear" w:color="auto" w:fill="FFFFFF"/>
        </w:rPr>
        <w:t xml:space="preserve">Illumina </w:t>
      </w:r>
      <w:proofErr w:type="spellStart"/>
      <w:r w:rsidRPr="002B450D">
        <w:rPr>
          <w:rFonts w:cs="Times New Roman"/>
          <w:color w:val="222222"/>
          <w:shd w:val="clear" w:color="auto" w:fill="FFFFFF"/>
        </w:rPr>
        <w:t>HumanOmniExpress</w:t>
      </w:r>
      <w:proofErr w:type="spellEnd"/>
      <w:r w:rsidRPr="002B450D">
        <w:rPr>
          <w:rFonts w:cs="Times New Roman"/>
          <w:color w:val="222222"/>
          <w:shd w:val="clear" w:color="auto" w:fill="FFFFFF"/>
        </w:rPr>
        <w:t xml:space="preserve"> </w:t>
      </w:r>
      <w:proofErr w:type="spellStart"/>
      <w:r w:rsidRPr="002B450D">
        <w:rPr>
          <w:rFonts w:cs="Times New Roman"/>
          <w:color w:val="222222"/>
          <w:shd w:val="clear" w:color="auto" w:fill="FFFFFF"/>
        </w:rPr>
        <w:t>BeadChip</w:t>
      </w:r>
      <w:proofErr w:type="spellEnd"/>
      <w:r w:rsidRPr="002B450D">
        <w:rPr>
          <w:rFonts w:cs="Times New Roman"/>
        </w:rPr>
        <w:t xml:space="preserve"> and </w:t>
      </w:r>
      <w:r w:rsidRPr="002B450D">
        <w:t xml:space="preserve">Illumina </w:t>
      </w:r>
      <w:proofErr w:type="spellStart"/>
      <w:r w:rsidRPr="002B450D">
        <w:t>HumanCoreExome</w:t>
      </w:r>
      <w:proofErr w:type="spellEnd"/>
      <w:r w:rsidRPr="002B450D">
        <w:t xml:space="preserve"> </w:t>
      </w:r>
      <w:proofErr w:type="spellStart"/>
      <w:r w:rsidRPr="002B450D">
        <w:t>BeadChip</w:t>
      </w:r>
      <w:r>
        <w:t>s</w:t>
      </w:r>
      <w:proofErr w:type="spellEnd"/>
      <w:r>
        <w:t xml:space="preserve"> were used with reference genome GRCh37 in imputation separately using the </w:t>
      </w:r>
      <w:r w:rsidRPr="00F51FEA">
        <w:t xml:space="preserve">Sanger Imputation </w:t>
      </w:r>
      <w:r>
        <w:t>S</w:t>
      </w:r>
      <w:r w:rsidRPr="00F51FEA">
        <w:t>erv</w:t>
      </w:r>
      <w:r>
        <w:t xml:space="preserve">ice </w:t>
      </w:r>
      <w:r>
        <w:fldChar w:fldCharType="begin"/>
      </w:r>
      <w:r>
        <w:instrText>ADDIN F1000_CSL_CITATION&lt;~#@#~&gt;[{"DOI":"10.1038/ng.3643","First":false,"Last":false,"PMCID":"PMC5388176","PMID":"27548312","abstract":"We describe a reference panel of 64,976 human haplotypes at 39,235,157 SNPs constructed using whole-genome sequence data from 20 studies of predominantly European ancestry. Using this resource leads to accurate genotype imputation at minor allele frequencies as low as 0.1% and a large increase in the number of SNPs tested in association studies, and it can help to discover and refine causal loci. We describe remote server resources that allow researchers to carry out imputation and phasing consistently and efficiently.","author":[{"family":"McCarthy","given":"Shane"},{"family":"Das","given":"Sayantan"},{"family":"Kretzschmar","given":"Warren"},{"family":"Delaneau","given":"Olivier"},{"family":"Wood","given":"Andrew R"},{"family":"Teumer","given":"Alexander"},{"family":"Kang","given":"Hyun Min"},{"family":"Fuchsberger","given":"Christian"},{"family":"Danecek","given":"Petr"},{"family":"Sharp","given":"Kevin"},{"family":"Luo","given":"Yang"},{"family":"Sidore","given":"Carlo"},{"family":"Kwong","given":"Alan"},{"family":"Timpson","given":"Nicholas"},{"family":"Koskinen","given":"Seppo"},{"family":"Vrieze","given":"Scott"},{"family":"Scott","given":"Laura J"},{"family":"Zhang","given":"He"},{"family":"Mahajan","given":"Anubha"},{"family":"Veldink","given":"Jan"},{"family":"Peters","given":"Ulrike"},{"family":"Pato","given":"Carlos"},{"family":"van Duijn","given":"Cornelia M"},{"family":"Gillies","given":"Christopher E"},{"family":"Gandin","given":"Ilaria"},{"family":"Mezzavilla","given":"Massimo"},{"family":"Gilly","given":"Arthur"},{"family":"Cocca","given":"Massimiliano"},{"family":"Traglia","given":"Michela"},{"family":"Angius","given":"Andrea"},{"family":"Barrett","given":"Jeffrey C"},{"family":"Boomsma","given":"Dorrett"},{"family":"Branham","given":"Kari"},{"family":"Breen","given":"Gerome"},{"family":"Brummett","given":"Chad M"},{"family":"Busonero","given":"Fabio"},{"family":"Campbell","given":"Harry"},{"family":"Chan","given":"Andrew"},{"family":"Chen","given":"Sai"},{"family":"Chew","given":"Emily"},{"family":"Collins","given":"Francis S"},{"family":"Corbin","given":"Laura J"},{"family":"Smith","given":"George Davey"},{"family":"Dedoussis","given":"George"},{"family":"Dorr","given":"Marcus"},{"family":"Farmaki","given":"Aliki-Eleni"},{"family":"Ferrucci","given":"Luigi"},{"family":"Forer","given":"Lukas"},{"family":"Fraser","given":"Ross M"},{"family":"Gabriel","given":"Stacey"},{"family":"Levy","given":"Shawn"},{"family":"Groop","given":"Leif"},{"family":"Harrison","given":"Tabitha"},{"family":"Hattersley","given":"Andrew"},{"family":"Holmen","given":"Oddgeir L"},{"family":"Hveem","given":"Kristian"},{"family":"Kretzler","given":"Matthias"},{"family":"Lee","given":"James C"},{"family":"McGue","given":"Matt"},{"family":"Meitinger","given":"Thomas"},{"family":"Melzer","given":"David"},{"family":"Min","given":"Josine L"},{"family":"Mohlke","given":"Karen L"},{"family":"Vincent","given":"John B"},{"family":"Nauck","given":"Matthias"},{"family":"Nickerson","given":"Deborah"},{"family":"Palotie","given":"Aarno"},{"family":"Pato","given":"Michele"},{"family":"Pirastu","given":"Nicola"},{"family":"McInnis","given":"Melvin"},{"family":"Richards","given":"J Brent"},{"family":"Sala","given":"Cinzia"},{"family":"Salomaa","given":"Veikko"},{"family":"Schlessinger","given":"David"},{"family":"Schoenherr","given":"Sebastian"},{"family":"Slagboom","given":"P Eline"},{"family":"Small","given":"Kerrin"},{"family":"Spector","given":"Timothy"},{"family":"Stambolian","given":"Dwight"},{"family":"Tuke","given":"Marcus"},{"family":"Tuomilehto","given":"Jaakko"},{"family":"Van den Berg","given":"Leonard H"},{"family":"Van Rheenen","given":"Wouter"},{"family":"Volker","given":"Uwe"},{"family":"Wijmenga","given":"Cisca"},{"family":"Toniolo","given":"Daniela"},{"family":"Zeggini","given":"Eleftheria"},{"family":"Gasparini","given":"Paolo"},{"family":"Sampson","given":"Matthew G"},{"family":"Wilson","given":"James F"},{"family":"Frayling","given":"Timothy"},{"family":"de Bakker","given":"Paul I W"},{"family":"Swertz","given":"Morris A"},{"family":"McCarroll","given":"Steven"},{"family":"Kooperberg","given":"Charles"},{"family":"Dekker","given":"Annelot"},{"family":"Altshuler","given":"David"},{"family":"Willer","given":"Cristen"},{"family":"Iacono","given":"William"},{"family":"Ripatti","given":"Samuli"},{"family":"Soranzo","given":"Nicole"},{"family":"Walter","given":"Klaudia"},{"family":"Swaroop","given":"Anand"},{"family":"Cucca","given":"Francesco"},{"family":"Anderson","given":"Carl A"},{"family":"Myers","given":"Richard M"},{"family":"Boehnke","given":"Michael"},{"family":"McCarthy","given":"Mark I"},{"family":"Durbin","given":"Richard"},{"family":"Haplotype Reference Consortium"}],"authorYearDisplayFormat":false,"citation-label":"2311631","container-title":"Nature Genetics","container-title-short":"Nat. Genet.","id":"2311631","invisible":false,"issue":"10","issued":{"date-parts":[["2016","8","22"]]},"journalAbbreviation":"Nat. Genet.","page":"1279-1283","suppress-author":false,"title":"A reference panel of 64,976 haplotypes for genotype imputation.","type":"article-journal","volume":"48"}]</w:instrText>
      </w:r>
      <w:r>
        <w:fldChar w:fldCharType="separate"/>
      </w:r>
      <w:r w:rsidRPr="00BB2BAA">
        <w:rPr>
          <w:noProof/>
        </w:rPr>
        <w:t>(McCarthy et al. 2016)</w:t>
      </w:r>
      <w:r>
        <w:fldChar w:fldCharType="end"/>
      </w:r>
      <w:r>
        <w:t xml:space="preserve"> with EAGLE2 </w:t>
      </w:r>
      <w:r>
        <w:fldChar w:fldCharType="begin"/>
      </w:r>
      <w:r>
        <w:instrText xml:space="preserve">ADDIN F1000_CSL_CITATION&lt;~#@#~&gt;[{"DOI":"10.1038/ng.3679","First":false,"Last":false,"PMCID":"PMC5096458","PMID":"27694958","abstract":"Haplotype phasing is a fundamental problem in medical and population genetics. Phasing is generally performed via statistical phasing in a genotyped cohort, an approach that can yield high accuracy in very large cohorts but attains lower accuracy in smaller cohorts. Here we instead explore the paradigm of reference-based phasing. We introduce a new phasing algorithm, Eagle2, that attains high accuracy across a broad range of cohort sizes by efficiently leveraging information from large external reference panels (such as the Haplotype Reference Consortium; HRC) using a new data structure based on the positional Burrows-Wheeler transform. We demonstrate that Eagle2 attains a </w:instrText>
      </w:r>
      <w:r>
        <w:rPr>
          <w:rFonts w:ascii="Cambria Math" w:hAnsi="Cambria Math" w:cs="Cambria Math"/>
        </w:rPr>
        <w:instrText>∼</w:instrText>
      </w:r>
      <w:r>
        <w:instrText xml:space="preserve">20× speedup and </w:instrText>
      </w:r>
      <w:r>
        <w:rPr>
          <w:rFonts w:ascii="Cambria Math" w:hAnsi="Cambria Math" w:cs="Cambria Math"/>
        </w:rPr>
        <w:instrText>∼</w:instrText>
      </w:r>
      <w:r>
        <w:instrText>10% increase in accuracy compared to reference-based phasing using SHAPEIT2. On European-ancestry samples, Eagle2 with the HRC panel achieves &gt;2× the accuracy of 1000 Genomes-based phasing. Eagle2 is open source and freely available for HRC-based phasing via the Sanger Imputation Service and the Michigan Imputation Server.","author":[{"family":"Loh","given":"Po-Ru"},{"family":"Danecek","given":"Petr"},{"family":"Palamara","given":"Pier Francesco"},{"family":"Fuchsberger","given":"Christian"},{"family":"A Reshef","given":"Yakir"},{"family":"K Finucane","given":"Hilary"},{"family":"Schoenherr","given":"Sebastian"},{"family":"Forer","given":"Lukas"},{"family":"McCarthy","given":"Shane"},{"family":"Abecasis","given":"Goncalo R"},{"family":"Durbin","given":"Richard"},{"family":"L Price","given":"Alkes"}],"authorYearDisplayFormat":false,"citation-label":"3224851","container-title":"Nature Genetics","container-title-short":"Nat. Genet.","id":"3224851","invisible":false,"issue":"11","issued":{"date-parts":[["2016","10","3"]]},"journalAbbreviation":"Nat. Genet.","page":"1443-1448","suppress-author":false,"title":"Reference-based phasing using the Haplotype Reference Consortium panel.","type":"article-journal","volume":"48"}]</w:instrText>
      </w:r>
      <w:r>
        <w:fldChar w:fldCharType="separate"/>
      </w:r>
      <w:r w:rsidRPr="00BB2BAA">
        <w:rPr>
          <w:noProof/>
        </w:rPr>
        <w:t>(Loh et al. 2016)</w:t>
      </w:r>
      <w:r>
        <w:fldChar w:fldCharType="end"/>
      </w:r>
      <w:r>
        <w:t xml:space="preserve"> used for phasing and PBWT </w:t>
      </w:r>
      <w:r>
        <w:fldChar w:fldCharType="begin"/>
      </w:r>
      <w:r>
        <w:instrText>ADDIN F1000_CSL_CITATION&lt;~#@#~&gt;[{"DOI":"10.1093/bioinformatics/btu014","First":false,"Last":false,"PMCID":"PMC3998136","PMID":"24413527","abstract":"&lt;strong&gt;MOTIVATION:&lt;/strong&gt; Over the last few years, methods based on suffix arrays using the Burrows-Wheeler Transform have been widely used for DNA sequence read matching and assembly. These provide very fast search algorithms, linear in the search pattern size, on a highly compressible representation of the dataset being searched. Meanwhile, algorithmic development for genotype data has concentrated on statistical methods for phasing and imputation, based on probabilistic matching to hidden Markov model representations of the reference data, which while powerful are much less computationally efficient. Here a theory of haplotype matching using suffix array ideas is developed, which should scale too much larger datasets than those currently handled by genotype algorithms.&lt;br&gt;&lt;br&gt;&lt;strong&gt;RESULTS:&lt;/strong&gt; Given M sequences with N bi-allelic variable sites, an O(NM) algorithm to derive a representation of the data based on positional prefix arrays is given, which is termed the positional Burrows-Wheeler transform (PBWT). On large datasets this compresses with run-length encoding by more than a factor of a hundred smaller than using gzip on the raw data. Using this representation a method is given to find all maximal haplotype matches within the set in O(NM) time rather than O(NM(2)) as expected from naive pairwise comparison, and also a fast algorithm, empirically independent of M given sufficient memory for indexes, to find maximal matches between a new sequence and the set. The discussion includes some proposals about how these approaches could be used for imputation and phasing.","author":[{"family":"Durbin","given":"Richard"}],"authorYearDisplayFormat":false,"citation-label":"804521","container-title":"Bioinformatics","container-title-short":"Bioinformatics","id":"804521","invisible":false,"issue":"9","issued":{"date-parts":[["2014","5","1"]]},"journalAbbreviation":"Bioinformatics","page":"1266-1272","suppress-author":false,"title":"Efficient haplotype matching and storage using the positional Burrows-Wheeler transform (PBWT).","type":"article-journal","volume":"30"}]</w:instrText>
      </w:r>
      <w:r>
        <w:fldChar w:fldCharType="separate"/>
      </w:r>
      <w:r w:rsidRPr="00BB2BAA">
        <w:rPr>
          <w:noProof/>
        </w:rPr>
        <w:t>(Durbin 2014)</w:t>
      </w:r>
      <w:r>
        <w:fldChar w:fldCharType="end"/>
      </w:r>
      <w:r>
        <w:t xml:space="preserve"> used for imputation. Imputed SNPs with an imputation quality score &gt; 0.5 were included in further analyses.</w:t>
      </w:r>
    </w:p>
    <w:p w14:paraId="4A37796A" w14:textId="77777777" w:rsidR="00BB2BAA" w:rsidRDefault="00BB2BAA" w:rsidP="00BB2BAA">
      <w:pPr>
        <w:spacing w:line="480" w:lineRule="auto"/>
        <w:jc w:val="both"/>
        <w:rPr>
          <w:b/>
        </w:rPr>
      </w:pPr>
      <w:r>
        <w:rPr>
          <w:b/>
        </w:rPr>
        <w:t>Principal Components of Ancestry and Genetic Relatedness Matrix</w:t>
      </w:r>
    </w:p>
    <w:p w14:paraId="4D39A67B" w14:textId="717DA1C3" w:rsidR="00BB2BAA" w:rsidRPr="00E509F5" w:rsidRDefault="00BB2BAA" w:rsidP="00BB2BAA">
      <w:pPr>
        <w:spacing w:line="480" w:lineRule="auto"/>
        <w:jc w:val="both"/>
        <w:rPr>
          <w:b/>
        </w:rPr>
      </w:pPr>
      <w:r>
        <w:t xml:space="preserve">Principal components of ancestry (PCA) and the genetic relatedness matrix (GRM) were generated from the autosomes using GCTA </w:t>
      </w:r>
      <w:r>
        <w:fldChar w:fldCharType="begin"/>
      </w:r>
      <w:r>
        <w:instrText>ADDIN F1000_CSL_CITATION&lt;~#@#~&gt;[{"DOI":"10.1016/j.ajhg.2010.11.011","First":false,"Last":false,"PMCID":"PMC3014363","PMID":"21167468","abstract":"For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sets.","author":[{"family":"Yang","given":"Jian"},{"family":"Lee","given":"S Hong"},{"family":"Goddard","given":"Michael E"},{"family":"Visscher","given":"Peter M"}],"authorYearDisplayFormat":false,"citation-label":"824895","container-title":"American Journal of Human Genetics","container-title-short":"Am. J. Hum. Genet.","id":"824895","invisible":false,"issue":"1","issued":{"date-parts":[["2011","1","7"]]},"journalAbbreviation":"Am. J. Hum. Genet.","page":"76-82","suppress-author":false,"title":"GCTA: a tool for genome-wide complex trait analysis.","type":"article-journal","volume":"88"}]</w:instrText>
      </w:r>
      <w:r>
        <w:fldChar w:fldCharType="separate"/>
      </w:r>
      <w:r w:rsidRPr="00BB2BAA">
        <w:rPr>
          <w:noProof/>
        </w:rPr>
        <w:t>(Yang et al. 2011)</w:t>
      </w:r>
      <w:r>
        <w:fldChar w:fldCharType="end"/>
      </w:r>
      <w:r w:rsidRPr="008B408B">
        <w:t>.</w:t>
      </w:r>
    </w:p>
    <w:p w14:paraId="37B4A7C2" w14:textId="77777777" w:rsidR="00BB2BAA" w:rsidRPr="00E509F5" w:rsidRDefault="00BB2BAA" w:rsidP="00BB2BAA">
      <w:pPr>
        <w:spacing w:line="480" w:lineRule="auto"/>
        <w:jc w:val="both"/>
        <w:rPr>
          <w:b/>
          <w:bCs/>
        </w:rPr>
      </w:pPr>
      <w:r w:rsidRPr="00E509F5">
        <w:rPr>
          <w:b/>
          <w:bCs/>
        </w:rPr>
        <w:t>Stepwise regression</w:t>
      </w:r>
    </w:p>
    <w:p w14:paraId="2894869C" w14:textId="610BF7B4" w:rsidR="00BB2BAA" w:rsidRDefault="00BB2BAA" w:rsidP="00BB2BAA">
      <w:pPr>
        <w:spacing w:line="480" w:lineRule="auto"/>
        <w:jc w:val="both"/>
      </w:pPr>
      <w:r>
        <w:t>Stepwise regression was performed on the full model of age, age</w:t>
      </w:r>
      <w:r w:rsidRPr="00023118">
        <w:rPr>
          <w:vertAlign w:val="superscript"/>
        </w:rPr>
        <w:t>2</w:t>
      </w:r>
      <w:r>
        <w:t xml:space="preserve">, sex, BMI, alcohol use, and PCAs 1-10 to determine the appropriate model using the MASS package </w:t>
      </w:r>
      <w:r>
        <w:fldChar w:fldCharType="begin"/>
      </w:r>
      <w:r>
        <w:instrText>ADDIN F1000_CSL_CITATION&lt;~#@#~&gt;[{"First":false,"ISBN":"0-387-95457-0","Last":false,"author":[{"family":"Venables","given":"William N."},{"family":"Venables","given":"W N"},{"family":"Ripley","given":"B D"}],"authorYearDisplayFormat":false,"citation-label":"7531939","edition":"Text is Free of Markings","id":"7531939","invisible":false,"issued":{"date-parts":[["2003","9"]]},"publisher":"Springer-Verlag New York, LLC","publisher-place":"New York","suppress-author":false,"title":"Modern Applied Statistics with S","type":"book"}]</w:instrText>
      </w:r>
      <w:r>
        <w:fldChar w:fldCharType="separate"/>
      </w:r>
      <w:r w:rsidRPr="00BB2BAA">
        <w:rPr>
          <w:noProof/>
        </w:rPr>
        <w:t>(Venables et al. 2003)</w:t>
      </w:r>
      <w:r>
        <w:fldChar w:fldCharType="end"/>
      </w:r>
      <w:r>
        <w:t xml:space="preserve"> in R v3.5.2 </w:t>
      </w:r>
      <w:r>
        <w:fldChar w:fldCharType="begin"/>
      </w:r>
      <w:r>
        <w:instrText>ADDIN F1000_CSL_CITATION&lt;~#@#~&gt;[{"First":false,"Last":false,"author":[{"family":"R Core Team"}],"authorYearDisplayFormat":false,"citation-label":"7032187","genre":"Computer software","id":"7032187","invisible":false,"issued":{"date-parts":[["2018"]]},"publisher":"R Foundation for Statistical Computing","publisher-place":"Vienna, Austria","suppress-author":false,"title":"R: A Language and Environment for Statistical Computing","type":"book","version":"3.5.2"}]</w:instrText>
      </w:r>
      <w:r>
        <w:fldChar w:fldCharType="separate"/>
      </w:r>
      <w:r w:rsidRPr="00BB2BAA">
        <w:rPr>
          <w:noProof/>
        </w:rPr>
        <w:t>(R Core Team 2018)</w:t>
      </w:r>
      <w:r>
        <w:fldChar w:fldCharType="end"/>
      </w:r>
      <w:r>
        <w:t xml:space="preserve">. BMI was calculated using the subject’s height and weight. Alcohol use and smoking were self-reported by study participants. Alcohol use was defined as “yes” if the study participant reported current alcohol consumption, otherwise alcohol use was designated as “no”. Study participants were classified as a smoker if the study participant reported current smoking, otherwise the study participant was classified as a nonsmoker. Stepwise regression identified sex, BMI, smoking, PCA 1, and PCA 8 as contributing to the model of pancreatitis. </w:t>
      </w:r>
    </w:p>
    <w:p w14:paraId="64FCCCEF" w14:textId="77777777" w:rsidR="00BB2BAA" w:rsidRDefault="00BB2BAA" w:rsidP="00BB2BAA">
      <w:pPr>
        <w:spacing w:line="480" w:lineRule="auto"/>
        <w:jc w:val="both"/>
        <w:rPr>
          <w:b/>
        </w:rPr>
      </w:pPr>
      <w:r>
        <w:rPr>
          <w:b/>
        </w:rPr>
        <w:t>Genome-wide association study</w:t>
      </w:r>
    </w:p>
    <w:p w14:paraId="514EEADA" w14:textId="44D651E8" w:rsidR="00BB2BAA" w:rsidRDefault="00BB2BAA" w:rsidP="00BB2BAA">
      <w:pPr>
        <w:spacing w:line="480" w:lineRule="auto"/>
        <w:jc w:val="both"/>
      </w:pPr>
      <w:r>
        <w:t xml:space="preserve">GWAS was performed on 9,838,266 imputed SNPs with genotyping on the autosomes with a minor allele frequency ≥ 0.01 using GCTA </w:t>
      </w:r>
      <w:r>
        <w:fldChar w:fldCharType="begin"/>
      </w:r>
      <w:r>
        <w:instrText>ADDIN F1000_CSL_CITATION&lt;~#@#~&gt;[{"DOI":"10.1016/j.ajhg.2010.11.011","First":false,"Last":false,"PMCID":"PMC3014363","PMID":"21167468","abstract":"For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sets.","author":[{"family":"Yang","given":"Jian"},{"family":"Lee","given":"S Hong"},{"family":"Goddard","given":"Michael E"},{"family":"Visscher","given":"Peter M"}],"authorYearDisplayFormat":false,"citation-label":"824895","container-title":"American Journal of Human Genetics","container-title-short":"Am. J. Hum. Genet.","id":"824895","invisible":false,"issue":"1","issued":{"date-parts":[["2011","1","7"]]},"journalAbbreviation":"Am. J. Hum. Genet.","page":"76-82","suppress-author":false,"title":"GCTA: a tool for genome-wide complex trait analysis.","type":"article-journal","volume":"88"}]</w:instrText>
      </w:r>
      <w:r>
        <w:fldChar w:fldCharType="separate"/>
      </w:r>
      <w:r w:rsidRPr="00BB2BAA">
        <w:rPr>
          <w:noProof/>
        </w:rPr>
        <w:t>(Yang et al. 2011)</w:t>
      </w:r>
      <w:r>
        <w:fldChar w:fldCharType="end"/>
      </w:r>
      <w:r>
        <w:t>. A</w:t>
      </w:r>
      <w:r w:rsidRPr="008B408B">
        <w:t xml:space="preserve"> m</w:t>
      </w:r>
      <w:r>
        <w:t>ultiple</w:t>
      </w:r>
      <w:r w:rsidRPr="008B408B">
        <w:t xml:space="preserve"> linear model controlled for age, sex, BMI, smoking, and </w:t>
      </w:r>
      <w:r>
        <w:t>PCAs 1-10</w:t>
      </w:r>
      <w:r w:rsidRPr="008B408B">
        <w:t xml:space="preserve"> as covariates</w:t>
      </w:r>
      <w:r>
        <w:t xml:space="preserve"> was used for the analysis along with a </w:t>
      </w:r>
      <w:r>
        <w:lastRenderedPageBreak/>
        <w:t xml:space="preserve">genetic relatedness matrix. </w:t>
      </w:r>
      <w:r w:rsidRPr="008B408B">
        <w:t>Genome-wide significant (p ≤ 5 x 10</w:t>
      </w:r>
      <w:r w:rsidRPr="008B408B">
        <w:rPr>
          <w:vertAlign w:val="superscript"/>
        </w:rPr>
        <w:t>-8</w:t>
      </w:r>
      <w:r w:rsidRPr="008B408B">
        <w:t>) loci were defined using PLINK v1.90</w:t>
      </w:r>
      <w:r>
        <w:t xml:space="preserve"> </w:t>
      </w:r>
      <w:r>
        <w:fldChar w:fldCharType="begin"/>
      </w:r>
      <w:r>
        <w:instrText>ADDIN F1000_CSL_CITATION&lt;~#@#~&gt;[{"DOI":"10.1086/519795","First":false,"Last":false,"PMCID":"PMC1950838","PMID":"17701901","abstract":"Whole-genome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analysis.","author":[{"family":"Purcell","given":"Shaun"},{"family":"Neale","given":"Benjamin"},{"family":"Todd-Brown","given":"Kathe"},{"family":"Thomas","given":"Lori"},{"family":"Ferreira","given":"Manuel A R"},{"family":"Bender","given":"David"},{"family":"Maller","given":"Julian"},{"family":"Sklar","given":"Pamela"},{"family":"de Bakker","given":"Paul I W"},{"family":"Daly","given":"Mark J"},{"family":"Sham","given":"Pak C"}],"authorYearDisplayFormat":false,"citation-label":"431749","container-title":"American Journal of Human Genetics","container-title-short":"Am. J. Hum. Genet.","id":"431749","invisible":false,"issue":"3","issued":{"date-parts":[["2007","9"]]},"journalAbbreviation":"Am. J. Hum. Genet.","page":"559-575","suppress-author":false,"title":"PLINK: a tool set for whole-genome association and population-based linkage analyses.","type":"article-journal","volume":"81"}]</w:instrText>
      </w:r>
      <w:r>
        <w:fldChar w:fldCharType="separate"/>
      </w:r>
      <w:r w:rsidRPr="00BB2BAA">
        <w:rPr>
          <w:noProof/>
        </w:rPr>
        <w:t>(Purcell et al. 2007)</w:t>
      </w:r>
      <w:r>
        <w:fldChar w:fldCharType="end"/>
      </w:r>
      <w:r w:rsidRPr="008B408B">
        <w:t>.</w:t>
      </w:r>
    </w:p>
    <w:p w14:paraId="6649E415" w14:textId="6D10FE3B" w:rsidR="00BB2BAA" w:rsidRDefault="00BB2BAA">
      <w:r>
        <w:br w:type="page"/>
      </w:r>
    </w:p>
    <w:p w14:paraId="3FF60C2E" w14:textId="2F7F8813" w:rsidR="0046147F" w:rsidRDefault="00BB2BAA">
      <w:r>
        <w:lastRenderedPageBreak/>
        <w:t>Bibliography</w:t>
      </w:r>
    </w:p>
    <w:p w14:paraId="27B3B590" w14:textId="77777777" w:rsidR="00BB2BAA" w:rsidRPr="00BB2BAA" w:rsidRDefault="00BB2BAA">
      <w:pPr>
        <w:widowControl w:val="0"/>
        <w:autoSpaceDE w:val="0"/>
        <w:autoSpaceDN w:val="0"/>
        <w:adjustRightInd w:val="0"/>
        <w:rPr>
          <w:rFonts w:ascii="Calibri" w:hAnsi="Calibri" w:cs="Times New Roman"/>
          <w:noProof/>
        </w:rPr>
      </w:pPr>
      <w:r>
        <w:fldChar w:fldCharType="begin"/>
      </w:r>
      <w:r>
        <w:instrText>ADDIN F1000_CSL_BIBLIOGRAPHY</w:instrText>
      </w:r>
      <w:r>
        <w:fldChar w:fldCharType="separate"/>
      </w:r>
    </w:p>
    <w:p w14:paraId="34492DF4"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Durbin, R. 2014. Efficient haplotype matching and storage using the positional Burrows-Wheeler transform (PBWT). </w:t>
      </w:r>
      <w:r w:rsidRPr="00BB2BAA">
        <w:rPr>
          <w:rFonts w:ascii="Calibri" w:hAnsi="Calibri" w:cs="Times New Roman"/>
          <w:i/>
          <w:iCs/>
          <w:noProof/>
        </w:rPr>
        <w:t>Bioinformatics</w:t>
      </w:r>
      <w:r w:rsidRPr="00BB2BAA">
        <w:rPr>
          <w:rFonts w:ascii="Calibri" w:hAnsi="Calibri" w:cs="Times New Roman"/>
          <w:noProof/>
        </w:rPr>
        <w:t xml:space="preserve"> 30(9), pp. 1266–1272.</w:t>
      </w:r>
    </w:p>
    <w:p w14:paraId="7674BEE8"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Loh, P.-R., Danecek, P., Palamara, P.F., et al. 2016. Reference-based phasing using the Haplotype Reference Consortium panel. </w:t>
      </w:r>
      <w:r w:rsidRPr="00BB2BAA">
        <w:rPr>
          <w:rFonts w:ascii="Calibri" w:hAnsi="Calibri" w:cs="Times New Roman"/>
          <w:i/>
          <w:iCs/>
          <w:noProof/>
        </w:rPr>
        <w:t>Nature Genetics</w:t>
      </w:r>
      <w:r w:rsidRPr="00BB2BAA">
        <w:rPr>
          <w:rFonts w:ascii="Calibri" w:hAnsi="Calibri" w:cs="Times New Roman"/>
          <w:noProof/>
        </w:rPr>
        <w:t xml:space="preserve"> 48(11), pp. 1443–1448.</w:t>
      </w:r>
    </w:p>
    <w:p w14:paraId="77CCBF3E"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McCarthy, S., Das, S., Kretzschmar, W., et al. 2016. A reference panel of 64,976 haplotypes for genotype imputation. </w:t>
      </w:r>
      <w:r w:rsidRPr="00BB2BAA">
        <w:rPr>
          <w:rFonts w:ascii="Calibri" w:hAnsi="Calibri" w:cs="Times New Roman"/>
          <w:i/>
          <w:iCs/>
          <w:noProof/>
        </w:rPr>
        <w:t>Nature Genetics</w:t>
      </w:r>
      <w:r w:rsidRPr="00BB2BAA">
        <w:rPr>
          <w:rFonts w:ascii="Calibri" w:hAnsi="Calibri" w:cs="Times New Roman"/>
          <w:noProof/>
        </w:rPr>
        <w:t xml:space="preserve"> 48(10), pp. 1279–1283.</w:t>
      </w:r>
    </w:p>
    <w:p w14:paraId="04D19C32"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Purcell, S., Neale, B., Todd-Brown, K., et al. 2007. PLINK: a tool set for whole-genome association and population-based linkage analyses. </w:t>
      </w:r>
      <w:r w:rsidRPr="00BB2BAA">
        <w:rPr>
          <w:rFonts w:ascii="Calibri" w:hAnsi="Calibri" w:cs="Times New Roman"/>
          <w:i/>
          <w:iCs/>
          <w:noProof/>
        </w:rPr>
        <w:t>American Journal of Human Genetics</w:t>
      </w:r>
      <w:r w:rsidRPr="00BB2BAA">
        <w:rPr>
          <w:rFonts w:ascii="Calibri" w:hAnsi="Calibri" w:cs="Times New Roman"/>
          <w:noProof/>
        </w:rPr>
        <w:t xml:space="preserve"> 81(3), pp. 559–575.</w:t>
      </w:r>
    </w:p>
    <w:p w14:paraId="7861E894"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R Core Team 2018. </w:t>
      </w:r>
      <w:r w:rsidRPr="00BB2BAA">
        <w:rPr>
          <w:rFonts w:ascii="Calibri" w:hAnsi="Calibri" w:cs="Times New Roman"/>
          <w:i/>
          <w:iCs/>
          <w:noProof/>
        </w:rPr>
        <w:t>R: A Language and Environment for Statistical Computing</w:t>
      </w:r>
      <w:r w:rsidRPr="00BB2BAA">
        <w:rPr>
          <w:rFonts w:ascii="Calibri" w:hAnsi="Calibri" w:cs="Times New Roman"/>
          <w:noProof/>
        </w:rPr>
        <w:t>. Vienna, Austria: R Foundation for Statistical Computing.</w:t>
      </w:r>
    </w:p>
    <w:p w14:paraId="5F245B5E"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Sarner, M. and Cotton, P.B. 1984. Classification of pancreatitis. </w:t>
      </w:r>
      <w:r w:rsidRPr="00BB2BAA">
        <w:rPr>
          <w:rFonts w:ascii="Calibri" w:hAnsi="Calibri" w:cs="Times New Roman"/>
          <w:i/>
          <w:iCs/>
          <w:noProof/>
        </w:rPr>
        <w:t>Gut</w:t>
      </w:r>
      <w:r w:rsidRPr="00BB2BAA">
        <w:rPr>
          <w:rFonts w:ascii="Calibri" w:hAnsi="Calibri" w:cs="Times New Roman"/>
          <w:noProof/>
        </w:rPr>
        <w:t xml:space="preserve"> 25(7), pp. 756–759.</w:t>
      </w:r>
    </w:p>
    <w:p w14:paraId="10D20AAE"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Venables, William N., Venables, W N and Ripley, B.D. 2003. </w:t>
      </w:r>
      <w:r w:rsidRPr="00BB2BAA">
        <w:rPr>
          <w:rFonts w:ascii="Calibri" w:hAnsi="Calibri" w:cs="Times New Roman"/>
          <w:i/>
          <w:iCs/>
          <w:noProof/>
        </w:rPr>
        <w:t>Modern Applied Statistics with S</w:t>
      </w:r>
      <w:r w:rsidRPr="00BB2BAA">
        <w:rPr>
          <w:rFonts w:ascii="Calibri" w:hAnsi="Calibri" w:cs="Times New Roman"/>
          <w:noProof/>
        </w:rPr>
        <w:t>. Text is Free of Markings. New York: Springer-Verlag New York, LLC.</w:t>
      </w:r>
    </w:p>
    <w:p w14:paraId="64F06D68" w14:textId="77777777" w:rsidR="00BB2BAA" w:rsidRPr="00BB2BAA" w:rsidRDefault="00BB2BAA">
      <w:pPr>
        <w:widowControl w:val="0"/>
        <w:autoSpaceDE w:val="0"/>
        <w:autoSpaceDN w:val="0"/>
        <w:adjustRightInd w:val="0"/>
        <w:rPr>
          <w:rFonts w:ascii="Calibri" w:hAnsi="Calibri" w:cs="Times New Roman"/>
          <w:noProof/>
        </w:rPr>
      </w:pPr>
      <w:r w:rsidRPr="00BB2BAA">
        <w:rPr>
          <w:rFonts w:ascii="Calibri" w:hAnsi="Calibri" w:cs="Times New Roman"/>
          <w:noProof/>
        </w:rPr>
        <w:t xml:space="preserve">Whitcomb, D.C., Yadav, D., Adam, S., et al. 2008. Multicenter approach to recurrent acute and chronic pancreatitis in the United States: the North American Pancreatitis Study 2 (NAPS2). </w:t>
      </w:r>
      <w:r w:rsidRPr="00BB2BAA">
        <w:rPr>
          <w:rFonts w:ascii="Calibri" w:hAnsi="Calibri" w:cs="Times New Roman"/>
          <w:i/>
          <w:iCs/>
          <w:noProof/>
        </w:rPr>
        <w:t>Pancreatology</w:t>
      </w:r>
      <w:r w:rsidRPr="00BB2BAA">
        <w:rPr>
          <w:rFonts w:ascii="Calibri" w:hAnsi="Calibri" w:cs="Times New Roman"/>
          <w:noProof/>
        </w:rPr>
        <w:t xml:space="preserve"> 8(4–5), pp. 520–531.</w:t>
      </w:r>
    </w:p>
    <w:p w14:paraId="76A21175" w14:textId="77777777" w:rsidR="00BB2BAA" w:rsidRPr="00BB2BAA" w:rsidRDefault="00BB2BAA">
      <w:pPr>
        <w:widowControl w:val="0"/>
        <w:autoSpaceDE w:val="0"/>
        <w:autoSpaceDN w:val="0"/>
        <w:adjustRightInd w:val="0"/>
        <w:rPr>
          <w:rFonts w:ascii="Calibri" w:hAnsi="Calibri"/>
          <w:noProof/>
        </w:rPr>
      </w:pPr>
      <w:r w:rsidRPr="00BB2BAA">
        <w:rPr>
          <w:rFonts w:ascii="Calibri" w:hAnsi="Calibri" w:cs="Times New Roman"/>
          <w:noProof/>
        </w:rPr>
        <w:t xml:space="preserve">Yang, J., Lee, S.H., Goddard, M.E. and Visscher, P.M. 2011. GCTA: a tool for genome-wide complex trait analysis. </w:t>
      </w:r>
      <w:r w:rsidRPr="00BB2BAA">
        <w:rPr>
          <w:rFonts w:ascii="Calibri" w:hAnsi="Calibri" w:cs="Times New Roman"/>
          <w:i/>
          <w:iCs/>
          <w:noProof/>
        </w:rPr>
        <w:t>American Journal of Human Genetics</w:t>
      </w:r>
      <w:r w:rsidRPr="00BB2BAA">
        <w:rPr>
          <w:rFonts w:ascii="Calibri" w:hAnsi="Calibri" w:cs="Times New Roman"/>
          <w:noProof/>
        </w:rPr>
        <w:t xml:space="preserve"> 88(1), pp. 76–82.</w:t>
      </w:r>
    </w:p>
    <w:p w14:paraId="4A93FC52" w14:textId="39841A1B" w:rsidR="00BB2BAA" w:rsidRDefault="00BB2BAA">
      <w:r>
        <w:fldChar w:fldCharType="end"/>
      </w:r>
    </w:p>
    <w:sectPr w:rsidR="00BB2BAA" w:rsidSect="003F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AA"/>
    <w:rsid w:val="003F0732"/>
    <w:rsid w:val="0046147F"/>
    <w:rsid w:val="00BB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79897"/>
  <w15:chartTrackingRefBased/>
  <w15:docId w15:val="{EF188C0C-1548-A34C-B26F-17CCA6CE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2B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3895</Words>
  <Characters>22206</Characters>
  <Application>Microsoft Office Word</Application>
  <DocSecurity>0</DocSecurity>
  <Lines>185</Lines>
  <Paragraphs>52</Paragraphs>
  <ScaleCrop>false</ScaleCrop>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Blobner, Brandon</dc:creator>
  <cp:keywords/>
  <dc:description/>
  <cp:lastModifiedBy>Blobner, Brandon</cp:lastModifiedBy>
  <cp:revision>1</cp:revision>
  <dcterms:created xsi:type="dcterms:W3CDTF">2019-10-02T17:36:00Z</dcterms:created>
  <dcterms:modified xsi:type="dcterms:W3CDTF">2019-10-02T17:39:00Z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InsertAsFootnote">
    <vt:lpwstr>0</vt:lpwstr>
  </property>
</Properties>
</file>