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9" w:firstLine="709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Citizenship Overview</w:t>
      </w:r>
    </w:p>
    <w:p w:rsidR="00000000" w:rsidDel="00000000" w:rsidP="00000000" w:rsidRDefault="00000000" w:rsidRPr="00000000" w14:paraId="00000002">
      <w:pPr>
        <w:ind w:left="-709" w:firstLine="709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Year: 9</w:t>
      </w:r>
    </w:p>
    <w:tbl>
      <w:tblPr>
        <w:tblStyle w:val="Table1"/>
        <w:tblW w:w="155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9"/>
        <w:tblGridChange w:id="0">
          <w:tblGrid>
            <w:gridCol w:w="15559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72.863281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 1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Setting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Online research - internet and avoiding plagiarism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Relationships: Friendships, bullying, peer pressure and assertiveness, rights and responsibilities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Religion and Cultures: The major religions, tribalism in Africa, secular society, politics and religion, new constitution, homosexuality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Reflective thinking: Target setting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Child protection: The Rights of the Child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 Internet and social media use: online bullying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talks: Drugs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 management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 2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Setting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Study skills: Learning Styles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Careers: IGCSE options (4 weeks)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Environment: Kenya Mau forest and catchment area, climatic change, the impact of tourism and air travel, tourism and conservation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talk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Wellness talk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 3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Setting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Conflict and conflict resolution: in school/locally/globally, child soldiers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Extremism and tolerance..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Discrimination and prejudice: gender </w:t>
            </w:r>
            <w:r w:rsidDel="00000000" w:rsidR="00000000" w:rsidRPr="00000000">
              <w:rPr>
                <w:rtl w:val="0"/>
              </w:rPr>
              <w:t xml:space="preserve">stereotyping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gender roles in society, racial prejudice and stereotypes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Wellness talks: Sex education: hormones and sexual development.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1900" w:w="16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Brookhouse School </w: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3733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8872725</wp:posOffset>
          </wp:positionH>
          <wp:positionV relativeFrom="paragraph">
            <wp:posOffset>-219074</wp:posOffset>
          </wp:positionV>
          <wp:extent cx="726916" cy="688658"/>
          <wp:effectExtent b="0" l="0" r="0" t="0"/>
          <wp:wrapSquare wrapText="bothSides" distB="0" distT="0" distL="114300" distR="114300"/>
          <wp:docPr descr="brookhouse logo copy" id="1" name="image1.jpg"/>
          <a:graphic>
            <a:graphicData uri="http://schemas.openxmlformats.org/drawingml/2006/picture">
              <pic:pic>
                <pic:nvPicPr>
                  <pic:cNvPr descr="brookhouse logo copy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916" cy="6886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