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0"/>
          <w:bCs w:val="0"/>
          <w:sz w:val="32"/>
          <w:szCs w:val="32"/>
          <w:vertAlign w:val="baseline"/>
        </w:rPr>
      </w:pPr>
      <w:r w:rsidDel="00000000" w:rsidR="00000000" w:rsidRPr="00000000">
        <w:rPr>
          <w:b w:val="1"/>
          <w:bCs w:val="1"/>
          <w:sz w:val="32"/>
          <w:szCs w:val="32"/>
          <w:vertAlign w:val="baseline"/>
          <w:rtl w:val="0"/>
        </w:rPr>
        <w:t xml:space="preserve">Schemes of Work Preamble  Year: 9 Subject: Citizenship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8620125</wp:posOffset>
            </wp:positionH>
            <wp:positionV relativeFrom="paragraph">
              <wp:posOffset>-354328</wp:posOffset>
            </wp:positionV>
            <wp:extent cx="904240" cy="854075"/>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04240" cy="854075"/>
                    </a:xfrm>
                    <a:prstGeom prst="rect"/>
                    <a:ln/>
                  </pic:spPr>
                </pic:pic>
              </a:graphicData>
            </a:graphic>
          </wp:anchor>
        </w:drawing>
      </w:r>
    </w:p>
    <w:p w:rsidR="00000000" w:rsidDel="00000000" w:rsidP="00000000" w:rsidRDefault="00000000" w:rsidRPr="00000000" w14:paraId="00000002">
      <w:pPr>
        <w:widowControl w:val="0"/>
        <w:spacing w:after="0" w:line="240" w:lineRule="auto"/>
        <w:rPr>
          <w:vertAlign w:val="baseline"/>
        </w:rPr>
      </w:pPr>
      <w:r w:rsidDel="00000000" w:rsidR="00000000" w:rsidRPr="00000000">
        <w:rPr>
          <w:b w:val="1"/>
          <w:bCs w:val="1"/>
          <w:vertAlign w:val="baseline"/>
          <w:rtl w:val="0"/>
        </w:rPr>
        <w:t xml:space="preserve">Topics Covered</w:t>
      </w:r>
      <w:r w:rsidDel="00000000" w:rsidR="00000000" w:rsidRPr="00000000">
        <w:rPr>
          <w:vertAlign w:val="baseline"/>
          <w:rtl w:val="0"/>
        </w:rPr>
        <w:t xml:space="preserv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1</w:t>
      </w:r>
      <w:r w:rsidDel="00000000" w:rsidR="00000000" w:rsidRPr="00000000">
        <w:rPr>
          <w:rtl w:val="0"/>
        </w:rPr>
      </w:r>
    </w:p>
    <w:p w:rsidR="00000000" w:rsidDel="00000000" w:rsidP="00000000" w:rsidRDefault="00000000" w:rsidRPr="00000000" w14:paraId="000000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Setting</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research - internet and avoiding plagiarism </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Relationships: Friendships, bullying, peer pressure and assertiveness, rights and responsibilities</w:t>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Religion and Cultures: The major religions, tribalism in Africa, secular society, politics and religion, new constitution, homosexuality</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Reflective thinking: Target setting</w:t>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Child protection: The Rights of the Child </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Internet and social media use: online bullying</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talks: Drugs</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management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Round Square research: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Women rights</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2</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Setting</w:t>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skills: Learning Styles</w:t>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Careers: IGCSE options (4 weeks) </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Environment: Kenya Mau forest and catchment area, climatic change, the impact of tourism and air travel, tourism and conservation</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talks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3</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Setting</w:t>
      </w:r>
    </w:p>
    <w:p w:rsidR="00000000" w:rsidDel="00000000" w:rsidP="00000000" w:rsidRDefault="00000000" w:rsidRPr="00000000" w14:paraId="000000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and conflict resolution: in school/locally/ globally, child soldiers</w:t>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Extremism and tolerance</w:t>
      </w:r>
    </w:p>
    <w:p w:rsidR="00000000" w:rsidDel="00000000" w:rsidP="00000000" w:rsidRDefault="00000000" w:rsidRPr="00000000" w14:paraId="000000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Discrimination and prejudice: gender stereo typing, gender roles in society, racial prejudice and stereotypes </w:t>
      </w:r>
    </w:p>
    <w:p w:rsidR="00000000" w:rsidDel="00000000" w:rsidP="00000000" w:rsidRDefault="00000000" w:rsidRPr="00000000" w14:paraId="0000001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Wellness talks: Sex education: hormones and sexual development</w:t>
      </w:r>
    </w:p>
    <w:p w:rsidR="00000000" w:rsidDel="00000000" w:rsidP="00000000" w:rsidRDefault="00000000" w:rsidRPr="00000000" w14:paraId="0000001A">
      <w:pPr>
        <w:widowControl w:val="0"/>
        <w:spacing w:after="0" w:line="240" w:lineRule="auto"/>
        <w:ind w:left="102" w:firstLine="0"/>
        <w:rP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this scheme of work:</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Global Citizenship programme is regarded as a central tenet of the ethos of Brookhouse.  It is not an individual programme but is delivered through a range of opportunities in Global Citizenship lessons, Service Learning and Assemblies.  There are a range of cross-curricular skills links which can be addressed through various subjects. It is intended to provide opportunities for all pupils to learn and achieve; and to promote pupils’ spiritual, moral, social and cultural development and prepare pupils for the opportunities, responsibilities and experiences of life in the 21st Century.</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widowControl w:val="0"/>
        <w:spacing w:after="0" w:before="11" w:line="240" w:lineRule="auto"/>
        <w:ind w:right="326"/>
        <w:rPr>
          <w:b w:val="0"/>
          <w:bCs w:val="0"/>
          <w:vertAlign w:val="baseline"/>
        </w:rPr>
      </w:pPr>
      <w:r w:rsidDel="00000000" w:rsidR="00000000" w:rsidRPr="00000000">
        <w:rPr>
          <w:b w:val="1"/>
          <w:bCs w:val="1"/>
          <w:vertAlign w:val="baseline"/>
          <w:rtl w:val="0"/>
        </w:rPr>
        <w:t xml:space="preserve">The aim of this unit is to enable students to:</w:t>
      </w:r>
      <w:r w:rsidDel="00000000" w:rsidR="00000000" w:rsidRPr="00000000">
        <w:rPr>
          <w:rtl w:val="0"/>
        </w:rPr>
      </w:r>
    </w:p>
    <w:p w:rsidR="00000000" w:rsidDel="00000000" w:rsidP="00000000" w:rsidRDefault="00000000" w:rsidRPr="00000000" w14:paraId="00000020">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Stay as healthy as possible, and keep themselves and others safe  </w:t>
      </w:r>
    </w:p>
    <w:p w:rsidR="00000000" w:rsidDel="00000000" w:rsidP="00000000" w:rsidRDefault="00000000" w:rsidRPr="00000000" w14:paraId="00000021">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Have worthwhile and fulfilling relationships</w:t>
      </w:r>
    </w:p>
    <w:p w:rsidR="00000000" w:rsidDel="00000000" w:rsidP="00000000" w:rsidRDefault="00000000" w:rsidRPr="00000000" w14:paraId="00000022">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Respect and appreciate the cultural differences between people</w:t>
      </w:r>
    </w:p>
    <w:p w:rsidR="00000000" w:rsidDel="00000000" w:rsidP="00000000" w:rsidRDefault="00000000" w:rsidRPr="00000000" w14:paraId="00000023">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Develop independence and responsibility</w:t>
      </w:r>
    </w:p>
    <w:p w:rsidR="00000000" w:rsidDel="00000000" w:rsidP="00000000" w:rsidRDefault="00000000" w:rsidRPr="00000000" w14:paraId="00000024">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Play an active role as global citizens and members of a democratic society</w:t>
      </w:r>
    </w:p>
    <w:p w:rsidR="00000000" w:rsidDel="00000000" w:rsidP="00000000" w:rsidRDefault="00000000" w:rsidRPr="00000000" w14:paraId="00000025">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Make the most of their own and others’ abilities</w:t>
      </w:r>
    </w:p>
    <w:p w:rsidR="00000000" w:rsidDel="00000000" w:rsidP="00000000" w:rsidRDefault="00000000" w:rsidRPr="00000000" w14:paraId="00000026">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Value their  achievements</w:t>
      </w:r>
    </w:p>
    <w:p w:rsidR="00000000" w:rsidDel="00000000" w:rsidP="00000000" w:rsidRDefault="00000000" w:rsidRPr="00000000" w14:paraId="00000027">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Deal with risk and meet the challenges of life, now and in the future</w:t>
      </w:r>
    </w:p>
    <w:p w:rsidR="00000000" w:rsidDel="00000000" w:rsidP="00000000" w:rsidRDefault="00000000" w:rsidRPr="00000000" w14:paraId="00000028">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Identify their values and strive to live up to them</w:t>
      </w:r>
    </w:p>
    <w:p w:rsidR="00000000" w:rsidDel="00000000" w:rsidP="00000000" w:rsidRDefault="00000000" w:rsidRPr="00000000" w14:paraId="00000029">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Raise standards of achievement by pupils who are more secure, motivated, confident and independent learners,  </w:t>
      </w:r>
      <w:r w:rsidDel="00000000" w:rsidR="00000000" w:rsidRPr="00000000">
        <w:rPr>
          <w:rtl w:val="0"/>
        </w:rPr>
        <w:t xml:space="preserve">h</w:t>
      </w:r>
      <w:r w:rsidDel="00000000" w:rsidR="00000000" w:rsidRPr="00000000">
        <w:rPr>
          <w:vertAlign w:val="baseline"/>
          <w:rtl w:val="0"/>
        </w:rPr>
        <w:t xml:space="preserve">elp promote equal opportunities for all</w:t>
      </w:r>
    </w:p>
    <w:p w:rsidR="00000000" w:rsidDel="00000000" w:rsidP="00000000" w:rsidRDefault="00000000" w:rsidRPr="00000000" w14:paraId="0000002A">
      <w:pPr>
        <w:widowControl w:val="0"/>
        <w:numPr>
          <w:ilvl w:val="0"/>
          <w:numId w:val="1"/>
        </w:numPr>
        <w:spacing w:after="0" w:before="11" w:line="240" w:lineRule="auto"/>
        <w:ind w:left="750" w:right="326" w:hanging="360"/>
        <w:rPr>
          <w:vertAlign w:val="baseline"/>
        </w:rPr>
      </w:pPr>
      <w:r w:rsidDel="00000000" w:rsidR="00000000" w:rsidRPr="00000000">
        <w:rPr>
          <w:vertAlign w:val="baseline"/>
          <w:rtl w:val="0"/>
        </w:rPr>
        <w:t xml:space="preserve">Improve the health and well-being of pupils</w:t>
      </w:r>
    </w:p>
    <w:p w:rsidR="00000000" w:rsidDel="00000000" w:rsidP="00000000" w:rsidRDefault="00000000" w:rsidRPr="00000000" w14:paraId="0000002B">
      <w:pPr>
        <w:widowControl w:val="0"/>
        <w:spacing w:after="0" w:before="11" w:line="240" w:lineRule="auto"/>
        <w:ind w:left="750" w:right="326" w:firstLine="0"/>
        <w:rP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 Objectives</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various aspects of Citizenship there are two broad areas of assessment: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Pupils' knowledge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understanding; for example, information on health, or a greater understanding of social issues, and this is assessed through discussions and oral presentations. </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well pupils can use their knowledge and understanding in developing skills and attitudes; for example, through participating in discussions, group tasks and activities, resolving conflict, making decisions and promoting positive relationships.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segment of the half-term report sheet is allocated to criteria for assessing student progress in various skills areas of Citizenship, and through the Form Tutor and Head of Year comments on the report.</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Assessment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of the work will be assessed through observation, worksheets and </w:t>
      </w:r>
      <w:r w:rsidDel="00000000" w:rsidR="00000000" w:rsidRPr="00000000">
        <w:rPr>
          <w:rtl w:val="0"/>
        </w:rPr>
        <w:t xml:space="preserve">projects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presentations.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a continuation of our commitment to the Round Square IDEALS, Brookhouse School is dedicated to the application of the Discovery Framework across the curriculum in order to address the six IDEALS Spirits and 12 Discoveries through teaching and learning. This Scheme of Work identifies where teaching and learning activities provide opportunities for Explorers to learn and develop skills related to the Discoveries using the following numerical system:</w:t>
      </w:r>
    </w:p>
    <w:p w:rsidR="00000000" w:rsidDel="00000000" w:rsidP="00000000" w:rsidRDefault="00000000" w:rsidRPr="00000000" w14:paraId="0000003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Tenacity</w:t>
        <w:tab/>
        <w:tab/>
        <w:tab/>
        <w:tab/>
        <w:tab/>
        <w:t xml:space="preserve">5. Inventiveness</w:t>
        <w:tab/>
        <w:tab/>
        <w:tab/>
        <w:tab/>
        <w:tab/>
        <w:tab/>
        <w:t xml:space="preserve">9. Appreciation for Diversity</w:t>
      </w:r>
    </w:p>
    <w:p w:rsidR="00000000" w:rsidDel="00000000" w:rsidP="00000000" w:rsidRDefault="00000000" w:rsidRPr="00000000" w14:paraId="0000003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Courage</w:t>
        <w:tab/>
        <w:tab/>
        <w:tab/>
        <w:tab/>
        <w:tab/>
        <w:t xml:space="preserve">6. Compassion</w:t>
        <w:tab/>
        <w:tab/>
        <w:tab/>
        <w:tab/>
        <w:tab/>
        <w:tab/>
        <w:tab/>
        <w:t xml:space="preserve">10. Ability to Solve Problems</w:t>
        <w:tab/>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Self-Awareness</w:t>
        <w:tab/>
        <w:tab/>
        <w:tab/>
        <w:tab/>
        <w:tab/>
        <w:t xml:space="preserve">7. Communication Skills</w:t>
        <w:tab/>
        <w:tab/>
        <w:tab/>
        <w:tab/>
        <w:tab/>
        <w:tab/>
        <w:t xml:space="preserve">11. Sense of Responsibility </w:t>
      </w:r>
    </w:p>
    <w:p w:rsidR="00000000" w:rsidDel="00000000" w:rsidP="00000000" w:rsidRDefault="00000000" w:rsidRPr="00000000" w14:paraId="0000003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Teamwork Skills </w:t>
        <w:tab/>
        <w:tab/>
        <w:tab/>
        <w:tab/>
        <w:t xml:space="preserve">8. Inquisitiveness</w:t>
        <w:tab/>
        <w:tab/>
        <w:tab/>
        <w:tab/>
        <w:tab/>
        <w:t xml:space="preserve">          </w:t>
        <w:tab/>
        <w:t xml:space="preserve">12. Commitment to Sustainability</w:t>
      </w:r>
    </w:p>
    <w:p w:rsidR="00000000" w:rsidDel="00000000" w:rsidP="00000000" w:rsidRDefault="00000000" w:rsidRPr="00000000" w14:paraId="0000003A">
      <w:pPr>
        <w:rPr>
          <w:sz w:val="24"/>
          <w:szCs w:val="24"/>
          <w:vertAlign w:val="baseline"/>
        </w:rPr>
      </w:pPr>
      <w:r w:rsidDel="00000000" w:rsidR="00000000" w:rsidRPr="00000000">
        <w:rPr>
          <w:b w:val="1"/>
          <w:bCs w:val="1"/>
          <w:sz w:val="24"/>
          <w:szCs w:val="24"/>
          <w:vertAlign w:val="baseline"/>
          <w:rtl w:val="0"/>
        </w:rPr>
        <w:t xml:space="preserve">Duration: </w:t>
      </w:r>
      <w:r w:rsidDel="00000000" w:rsidR="00000000" w:rsidRPr="00000000">
        <w:rPr>
          <w:sz w:val="24"/>
          <w:szCs w:val="24"/>
          <w:vertAlign w:val="baseline"/>
          <w:rtl w:val="0"/>
        </w:rPr>
        <w:t xml:space="preserve">This scheme should take around 36 weeks.</w:t>
      </w:r>
    </w:p>
    <w:p w:rsidR="00000000" w:rsidDel="00000000" w:rsidP="00000000" w:rsidRDefault="00000000" w:rsidRPr="00000000" w14:paraId="0000003B">
      <w:pPr>
        <w:rPr>
          <w:sz w:val="24"/>
          <w:szCs w:val="24"/>
          <w:vertAlign w:val="baseline"/>
        </w:rPr>
      </w:pPr>
      <w:r w:rsidDel="00000000" w:rsidR="00000000" w:rsidRPr="00000000">
        <w:rPr>
          <w:rtl w:val="0"/>
        </w:rPr>
      </w:r>
    </w:p>
    <w:p w:rsidR="00000000" w:rsidDel="00000000" w:rsidP="00000000" w:rsidRDefault="00000000" w:rsidRPr="00000000" w14:paraId="0000003C">
      <w:pPr>
        <w:rPr>
          <w:sz w:val="24"/>
          <w:szCs w:val="24"/>
          <w:vertAlign w:val="baseline"/>
        </w:rPr>
      </w:pPr>
      <w:r w:rsidDel="00000000" w:rsidR="00000000" w:rsidRPr="00000000">
        <w:rPr>
          <w:rtl w:val="0"/>
        </w:rPr>
      </w:r>
    </w:p>
    <w:sectPr>
      <w:footerReference r:id="rId7"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 xml:space="preserve">                            </w:t>
      <w:tab/>
      <w:t xml:space="preserve">Brookhouse School</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50" w:hanging="360"/>
      </w:pPr>
      <w:rPr>
        <w:rFonts w:ascii="Noto Sans Symbols" w:cs="Noto Sans Symbols" w:eastAsia="Noto Sans Symbols" w:hAnsi="Noto Sans Symbols"/>
        <w:vertAlign w:val="baseline"/>
      </w:rPr>
    </w:lvl>
    <w:lvl w:ilvl="1">
      <w:start w:val="1"/>
      <w:numFmt w:val="bullet"/>
      <w:lvlText w:val="o"/>
      <w:lvlJc w:val="left"/>
      <w:pPr>
        <w:ind w:left="1470" w:hanging="360"/>
      </w:pPr>
      <w:rPr>
        <w:rFonts w:ascii="Courier New" w:cs="Courier New" w:eastAsia="Courier New" w:hAnsi="Courier New"/>
        <w:vertAlign w:val="baseline"/>
      </w:rPr>
    </w:lvl>
    <w:lvl w:ilvl="2">
      <w:start w:val="1"/>
      <w:numFmt w:val="bullet"/>
      <w:lvlText w:val="▪"/>
      <w:lvlJc w:val="left"/>
      <w:pPr>
        <w:ind w:left="2190" w:hanging="360"/>
      </w:pPr>
      <w:rPr>
        <w:rFonts w:ascii="Noto Sans Symbols" w:cs="Noto Sans Symbols" w:eastAsia="Noto Sans Symbols" w:hAnsi="Noto Sans Symbols"/>
        <w:vertAlign w:val="baseline"/>
      </w:rPr>
    </w:lvl>
    <w:lvl w:ilvl="3">
      <w:start w:val="1"/>
      <w:numFmt w:val="bullet"/>
      <w:lvlText w:val="●"/>
      <w:lvlJc w:val="left"/>
      <w:pPr>
        <w:ind w:left="2910" w:hanging="360"/>
      </w:pPr>
      <w:rPr>
        <w:rFonts w:ascii="Noto Sans Symbols" w:cs="Noto Sans Symbols" w:eastAsia="Noto Sans Symbols" w:hAnsi="Noto Sans Symbols"/>
        <w:vertAlign w:val="baseline"/>
      </w:rPr>
    </w:lvl>
    <w:lvl w:ilvl="4">
      <w:start w:val="1"/>
      <w:numFmt w:val="bullet"/>
      <w:lvlText w:val="o"/>
      <w:lvlJc w:val="left"/>
      <w:pPr>
        <w:ind w:left="3630" w:hanging="360"/>
      </w:pPr>
      <w:rPr>
        <w:rFonts w:ascii="Courier New" w:cs="Courier New" w:eastAsia="Courier New" w:hAnsi="Courier New"/>
        <w:vertAlign w:val="baseline"/>
      </w:rPr>
    </w:lvl>
    <w:lvl w:ilvl="5">
      <w:start w:val="1"/>
      <w:numFmt w:val="bullet"/>
      <w:lvlText w:val="▪"/>
      <w:lvlJc w:val="left"/>
      <w:pPr>
        <w:ind w:left="4350" w:hanging="360"/>
      </w:pPr>
      <w:rPr>
        <w:rFonts w:ascii="Noto Sans Symbols" w:cs="Noto Sans Symbols" w:eastAsia="Noto Sans Symbols" w:hAnsi="Noto Sans Symbols"/>
        <w:vertAlign w:val="baseline"/>
      </w:rPr>
    </w:lvl>
    <w:lvl w:ilvl="6">
      <w:start w:val="1"/>
      <w:numFmt w:val="bullet"/>
      <w:lvlText w:val="●"/>
      <w:lvlJc w:val="left"/>
      <w:pPr>
        <w:ind w:left="5070" w:hanging="360"/>
      </w:pPr>
      <w:rPr>
        <w:rFonts w:ascii="Noto Sans Symbols" w:cs="Noto Sans Symbols" w:eastAsia="Noto Sans Symbols" w:hAnsi="Noto Sans Symbols"/>
        <w:vertAlign w:val="baseline"/>
      </w:rPr>
    </w:lvl>
    <w:lvl w:ilvl="7">
      <w:start w:val="1"/>
      <w:numFmt w:val="bullet"/>
      <w:lvlText w:val="o"/>
      <w:lvlJc w:val="left"/>
      <w:pPr>
        <w:ind w:left="5790" w:hanging="360"/>
      </w:pPr>
      <w:rPr>
        <w:rFonts w:ascii="Courier New" w:cs="Courier New" w:eastAsia="Courier New" w:hAnsi="Courier New"/>
        <w:vertAlign w:val="baseline"/>
      </w:rPr>
    </w:lvl>
    <w:lvl w:ilvl="8">
      <w:start w:val="1"/>
      <w:numFmt w:val="bullet"/>
      <w:lvlText w:val="▪"/>
      <w:lvlJc w:val="left"/>
      <w:pPr>
        <w:ind w:left="651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