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sz w:val="32"/>
          <w:szCs w:val="32"/>
        </w:rPr>
        <w:t xml:space="preserve">ESCUELA POLITÉCNICA NACIONAL</w:t>
      </w:r>
    </w:p>
    <w:p>
      <w:pPr>
        <w:spacing w:after="80"/>
        <w:jc w:val="center"/>
      </w:pPr>
      <w:r>
        <w:rPr>
          <w:sz w:val="26"/>
          <w:szCs w:val="26"/>
        </w:rPr>
        <w:t xml:space="preserve">Facultad de Ingeniería de Sistemas</w:t>
      </w:r>
    </w:p>
    <w:p>
      <w:pPr>
        <w:spacing w:after="500"/>
        <w:jc w:val="center"/>
      </w:pPr>
      <w:r>
        <w:rPr>
          <w:sz w:val="24"/>
          <w:szCs w:val="24"/>
        </w:rPr>
        <w:t xml:space="preserve">ISID223 — Introducción a los Sistemas de Información (2025-B)</w:t>
      </w:r>
    </w:p>
    <w:p>
      <w:pPr>
        <w:spacing w:after="120"/>
        <w:jc w:val="center"/>
      </w:pPr>
      <w:r>
        <w:rPr>
          <w:b/>
          <w:bCs/>
          <w:color w:val="2E86AB"/>
          <w:sz w:val="40"/>
          <w:szCs w:val="40"/>
        </w:rPr>
        <w:t xml:space="preserve">PROYECTO FINAL</w:t>
      </w:r>
    </w:p>
    <w:p>
      <w:pPr>
        <w:spacing w:after="120"/>
        <w:jc w:val="center"/>
      </w:pPr>
      <w:r>
        <w:rPr>
          <w:sz w:val="32"/>
          <w:szCs w:val="32"/>
        </w:rPr>
        <w:t xml:space="preserve">Transformación Digital Empresarial</w:t>
      </w:r>
    </w:p>
    <w:p>
      <w:pPr>
        <w:spacing w:after="600"/>
        <w:jc w:val="center"/>
      </w:pPr>
      <w:r>
        <w:rPr>
          <w:i/>
          <w:iCs/>
          <w:sz w:val="26"/>
          <w:szCs w:val="26"/>
        </w:rPr>
        <w:t xml:space="preserve">FitCore Gym: Ecosistema Integrado de Sistemas de Información
para la digitalización de una PYME de servicios deportivos</w:t>
      </w:r>
    </w:p>
    <w:p>
      <w:pPr>
        <w:spacing w:after="60"/>
        <w:jc w:val="center"/>
      </w:pPr>
      <w:r>
        <w:rPr>
          <w:b/>
          <w:bCs/>
          <w:sz w:val="24"/>
          <w:szCs w:val="24"/>
        </w:rPr>
        <w:t xml:space="preserve">Firma consultora: NEXUS Consulting Group</w:t>
      </w:r>
    </w:p>
    <w:p>
      <w:pPr>
        <w:spacing w:after="60"/>
        <w:jc w:val="center"/>
      </w:pPr>
      <w:r>
        <w:rPr>
          <w:sz w:val="24"/>
          <w:szCs w:val="24"/>
        </w:rPr>
        <w:t xml:space="preserve">Integrantes: [NOMBRE INTEGRANTE 1] — [NOMBRE INTEGRANTE 2]</w:t>
      </w:r>
    </w:p>
    <w:p>
      <w:pPr>
        <w:spacing w:after="60"/>
        <w:jc w:val="center"/>
      </w:pPr>
      <w:r>
        <w:rPr>
          <w:sz w:val="24"/>
          <w:szCs w:val="24"/>
        </w:rPr>
        <w:t xml:space="preserve">Profesor: Iván Carrera</w:t>
      </w:r>
    </w:p>
    <w:p>
      <w:pPr>
        <w:jc w:val="center"/>
      </w:pPr>
      <w:r>
        <w:rPr>
          <w:sz w:val="24"/>
          <w:szCs w:val="24"/>
        </w:rPr>
        <w:t xml:space="preserve">Quito, 24 de julio de 2026</w:t>
      </w:r>
    </w:p>
    <w:p>
      <w:r>
        <w:br w:type="page"/>
      </w:r>
    </w:p>
    <w:p>
      <w:pPr>
        <w:pStyle w:val="Heading1"/>
      </w:pPr>
      <w:r>
        <w:rPr>
          <w:color w:val="2E86AB"/>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color w:val="2E86AB"/>
        </w:rPr>
        <w:t xml:space="preserve">1. Resumen Ejecutivo</w:t>
      </w:r>
    </w:p>
    <w:p>
      <w:pPr>
        <w:spacing w:after="120" w:line="276"/>
        <w:jc w:val="both"/>
      </w:pPr>
      <w:r>
        <w:rPr>
          <w:sz w:val="22"/>
          <w:szCs w:val="22"/>
        </w:rPr>
        <w:t xml:space="preserve">FitCore Gym es un gimnasio de barrio con 350 socios que operaba de forma completamente manual: registro de socios en hojas de cálculo aisladas, cobros sin historial, compras a proveedores por intuición y ninguna capacidad para detectar cuándo un socio abandona. El resultado: silos de información, quiebres de stock recurrentes y una tasa de deserción del 26 % que la gerencia solo percibía cuando ya era irreversible.</w:t>
      </w:r>
    </w:p>
    <w:p>
      <w:pPr>
        <w:spacing w:after="120" w:line="276"/>
        <w:jc w:val="both"/>
      </w:pPr>
      <w:r>
        <w:rPr>
          <w:sz w:val="22"/>
          <w:szCs w:val="22"/>
        </w:rPr>
        <w:t xml:space="preserve">Nuestra firma consultora diseñó y construyó un ecosistema integrado de sistemas de información desarrollado en Python con persistencia en SQLite: un Sistema Core (punto de venta de membresías, clases y productos) conectado mediante un bus de eventos a tres módulos satélite — ERP (contabilidad automática), SCM (reabastecimiento automático) y CRM (alertas de deserción) — culminando en un tablero de control gerencial que se actualiza con cada transacción.</w:t>
      </w:r>
    </w:p>
    <w:p>
      <w:pPr>
        <w:spacing w:after="120" w:line="276"/>
        <w:jc w:val="both"/>
      </w:pPr>
      <w:r>
        <w:rPr>
          <w:sz w:val="22"/>
          <w:szCs w:val="22"/>
        </w:rPr>
        <w:t xml:space="preserve">El valor es inmediato y medible: cada venta genera su asiento contable sin intervención humana; cuando el stock de un producto cae bajo el mínimo, el sistema emite la orden de compra al proveedor por sí solo; y el módulo CRM identificó 137 socios en riesgo de deserción que hoy son invisibles para el negocio. La segmentación RFM reveló además que 57 clientes VIP (16 % de la base) concentran un gasto promedio de USD 831, un segmento que la empresa ni siquiera sabía que existía. Con esta plataforma, FitCore Gym pasa de administrar un cuaderno a dirigir el negocio con datos.</w:t>
      </w:r>
    </w:p>
    <w:p>
      <w:r>
        <w:br w:type="page"/>
      </w:r>
    </w:p>
    <w:p>
      <w:pPr>
        <w:pStyle w:val="Heading1"/>
        <w:spacing w:after="160" w:before="320"/>
      </w:pPr>
      <w:r>
        <w:rPr>
          <w:color w:val="2E86AB"/>
        </w:rPr>
        <w:t xml:space="preserve">2. Diseño Estratégico</w:t>
      </w:r>
    </w:p>
    <w:p>
      <w:pPr>
        <w:pStyle w:val="Heading2"/>
        <w:spacing w:after="120" w:before="240"/>
      </w:pPr>
      <w:r>
        <w:rPr>
          <w:color w:val="333333"/>
        </w:rPr>
        <w:t xml:space="preserve">2.1 Análisis competitivo: las 5 Fuerzas de Porter</w:t>
      </w:r>
    </w:p>
    <w:p>
      <w:pPr>
        <w:spacing w:after="120" w:line="276"/>
        <w:jc w:val="both"/>
      </w:pPr>
      <w:r>
        <w:rPr>
          <w:sz w:val="22"/>
          <w:szCs w:val="22"/>
        </w:rPr>
        <w:t xml:space="preserve">Se analizó la industria de gimnasios de barrio en Quito para justificar cómo el sistema de información propuesto mejora la posición competitiva de FitCore Gym: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50"/>
        <w:gridCol w:w="2900"/>
        <w:gridCol w:w="3610"/>
      </w:tblGrid>
      <w:tr>
        <w:tc>
          <w:tcPr>
            <w:tcW w:type="dxa" w:w="1900"/>
            <w:shd w:fill="2E86AB" w:val="clear"/>
            <w:tcMar>
              <w:top w:type="dxa" w:w="60"/>
              <w:left w:type="dxa" w:w="100"/>
              <w:bottom w:type="dxa" w:w="60"/>
              <w:right w:type="dxa" w:w="100"/>
            </w:tcMar>
          </w:tcPr>
          <w:p>
            <w:r>
              <w:rPr>
                <w:b/>
                <w:bCs/>
                <w:color w:val="FFFFFF"/>
                <w:sz w:val="20"/>
                <w:szCs w:val="20"/>
              </w:rPr>
              <w:t xml:space="preserve">Fuerza</w:t>
            </w:r>
          </w:p>
        </w:tc>
        <w:tc>
          <w:tcPr>
            <w:tcW w:type="dxa" w:w="950"/>
            <w:shd w:fill="2E86AB" w:val="clear"/>
            <w:tcMar>
              <w:top w:type="dxa" w:w="60"/>
              <w:left w:type="dxa" w:w="100"/>
              <w:bottom w:type="dxa" w:w="60"/>
              <w:right w:type="dxa" w:w="100"/>
            </w:tcMar>
          </w:tcPr>
          <w:p>
            <w:r>
              <w:rPr>
                <w:b/>
                <w:bCs/>
                <w:color w:val="FFFFFF"/>
                <w:sz w:val="20"/>
                <w:szCs w:val="20"/>
              </w:rPr>
              <w:t xml:space="preserve">Nivel</w:t>
            </w:r>
          </w:p>
        </w:tc>
        <w:tc>
          <w:tcPr>
            <w:tcW w:type="dxa" w:w="2900"/>
            <w:shd w:fill="2E86AB" w:val="clear"/>
            <w:tcMar>
              <w:top w:type="dxa" w:w="60"/>
              <w:left w:type="dxa" w:w="100"/>
              <w:bottom w:type="dxa" w:w="60"/>
              <w:right w:type="dxa" w:w="100"/>
            </w:tcMar>
          </w:tcPr>
          <w:p>
            <w:r>
              <w:rPr>
                <w:b/>
                <w:bCs/>
                <w:color w:val="FFFFFF"/>
                <w:sz w:val="20"/>
                <w:szCs w:val="20"/>
              </w:rPr>
              <w:t xml:space="preserve">Diagnóstico</w:t>
            </w:r>
          </w:p>
        </w:tc>
        <w:tc>
          <w:tcPr>
            <w:tcW w:type="dxa" w:w="3610"/>
            <w:shd w:fill="2E86AB" w:val="clear"/>
            <w:tcMar>
              <w:top w:type="dxa" w:w="60"/>
              <w:left w:type="dxa" w:w="100"/>
              <w:bottom w:type="dxa" w:w="60"/>
              <w:right w:type="dxa" w:w="100"/>
            </w:tcMar>
          </w:tcPr>
          <w:p>
            <w:r>
              <w:rPr>
                <w:b/>
                <w:bCs/>
                <w:color w:val="FFFFFF"/>
                <w:sz w:val="20"/>
                <w:szCs w:val="20"/>
              </w:rPr>
              <w:t xml:space="preserve">Cómo el SI mejora la posición</w:t>
            </w:r>
          </w:p>
        </w:tc>
      </w:tr>
      <w:tr>
        <w:tc>
          <w:tcPr>
            <w:tcW w:type="dxa" w:w="1900"/>
            <w:tcMar>
              <w:top w:type="dxa" w:w="60"/>
              <w:left w:type="dxa" w:w="100"/>
              <w:bottom w:type="dxa" w:w="60"/>
              <w:right w:type="dxa" w:w="100"/>
            </w:tcMar>
          </w:tcPr>
          <w:p>
            <w:r>
              <w:rPr>
                <w:sz w:val="20"/>
                <w:szCs w:val="20"/>
              </w:rPr>
              <w:t xml:space="preserve">Rivalidad entre competidores</w:t>
            </w:r>
          </w:p>
        </w:tc>
        <w:tc>
          <w:tcPr>
            <w:tcW w:type="dxa" w:w="950"/>
            <w:tcMar>
              <w:top w:type="dxa" w:w="60"/>
              <w:left w:type="dxa" w:w="100"/>
              <w:bottom w:type="dxa" w:w="60"/>
              <w:right w:type="dxa" w:w="100"/>
            </w:tcMar>
          </w:tcPr>
          <w:p>
            <w:r>
              <w:rPr>
                <w:sz w:val="20"/>
                <w:szCs w:val="20"/>
              </w:rPr>
              <w:t xml:space="preserve">ALTA</w:t>
            </w:r>
          </w:p>
        </w:tc>
        <w:tc>
          <w:tcPr>
            <w:tcW w:type="dxa" w:w="2900"/>
            <w:tcMar>
              <w:top w:type="dxa" w:w="60"/>
              <w:left w:type="dxa" w:w="100"/>
              <w:bottom w:type="dxa" w:w="60"/>
              <w:right w:type="dxa" w:w="100"/>
            </w:tcMar>
          </w:tcPr>
          <w:p>
            <w:r>
              <w:rPr>
                <w:sz w:val="20"/>
                <w:szCs w:val="20"/>
              </w:rPr>
              <w:t xml:space="preserve">Múltiples gimnasios y cadenas low-cost en el sector; competencia por precio.</w:t>
            </w:r>
          </w:p>
        </w:tc>
        <w:tc>
          <w:tcPr>
            <w:tcW w:type="dxa" w:w="3610"/>
            <w:tcMar>
              <w:top w:type="dxa" w:w="60"/>
              <w:left w:type="dxa" w:w="100"/>
              <w:bottom w:type="dxa" w:w="60"/>
              <w:right w:type="dxa" w:w="100"/>
            </w:tcMar>
          </w:tcPr>
          <w:p>
            <w:r>
              <w:rPr>
                <w:sz w:val="20"/>
                <w:szCs w:val="20"/>
              </w:rPr>
              <w:t xml:space="preserve">El SI diferencia por servicio: atención personalizada basada en datos (RFM/CRM), retención proactiva y disponibilidad de productos.</w:t>
            </w:r>
          </w:p>
        </w:tc>
      </w:tr>
      <w:tr>
        <w:tc>
          <w:tcPr>
            <w:tcW w:type="dxa" w:w="1900"/>
            <w:tcMar>
              <w:top w:type="dxa" w:w="60"/>
              <w:left w:type="dxa" w:w="100"/>
              <w:bottom w:type="dxa" w:w="60"/>
              <w:right w:type="dxa" w:w="100"/>
            </w:tcMar>
          </w:tcPr>
          <w:p>
            <w:r>
              <w:rPr>
                <w:sz w:val="20"/>
                <w:szCs w:val="20"/>
              </w:rPr>
              <w:t xml:space="preserve">Amenaza de nuevos entrantes</w:t>
            </w:r>
          </w:p>
        </w:tc>
        <w:tc>
          <w:tcPr>
            <w:tcW w:type="dxa" w:w="950"/>
            <w:tcMar>
              <w:top w:type="dxa" w:w="60"/>
              <w:left w:type="dxa" w:w="100"/>
              <w:bottom w:type="dxa" w:w="60"/>
              <w:right w:type="dxa" w:w="100"/>
            </w:tcMar>
          </w:tcPr>
          <w:p>
            <w:r>
              <w:rPr>
                <w:sz w:val="20"/>
                <w:szCs w:val="20"/>
              </w:rPr>
              <w:t xml:space="preserve">MEDIA-ALTA</w:t>
            </w:r>
          </w:p>
        </w:tc>
        <w:tc>
          <w:tcPr>
            <w:tcW w:type="dxa" w:w="2900"/>
            <w:tcMar>
              <w:top w:type="dxa" w:w="60"/>
              <w:left w:type="dxa" w:w="100"/>
              <w:bottom w:type="dxa" w:w="60"/>
              <w:right w:type="dxa" w:w="100"/>
            </w:tcMar>
          </w:tcPr>
          <w:p>
            <w:r>
              <w:rPr>
                <w:sz w:val="20"/>
                <w:szCs w:val="20"/>
              </w:rPr>
              <w:t xml:space="preserve">Barreras de entrada bajas (un local y equipos básicos).</w:t>
            </w:r>
          </w:p>
        </w:tc>
        <w:tc>
          <w:tcPr>
            <w:tcW w:type="dxa" w:w="3610"/>
            <w:tcMar>
              <w:top w:type="dxa" w:w="60"/>
              <w:left w:type="dxa" w:w="100"/>
              <w:bottom w:type="dxa" w:w="60"/>
              <w:right w:type="dxa" w:w="100"/>
            </w:tcMar>
          </w:tcPr>
          <w:p>
            <w:r>
              <w:rPr>
                <w:sz w:val="20"/>
                <w:szCs w:val="20"/>
              </w:rPr>
              <w:t xml:space="preserve">La base histórica de clientes y la analítica generan una ventaja difícil de replicar por un entrante sin datos.</w:t>
            </w:r>
          </w:p>
        </w:tc>
      </w:tr>
      <w:tr>
        <w:tc>
          <w:tcPr>
            <w:tcW w:type="dxa" w:w="1900"/>
            <w:tcMar>
              <w:top w:type="dxa" w:w="60"/>
              <w:left w:type="dxa" w:w="100"/>
              <w:bottom w:type="dxa" w:w="60"/>
              <w:right w:type="dxa" w:w="100"/>
            </w:tcMar>
          </w:tcPr>
          <w:p>
            <w:r>
              <w:rPr>
                <w:sz w:val="20"/>
                <w:szCs w:val="20"/>
              </w:rPr>
              <w:t xml:space="preserve">Productos sustitutos</w:t>
            </w:r>
          </w:p>
        </w:tc>
        <w:tc>
          <w:tcPr>
            <w:tcW w:type="dxa" w:w="950"/>
            <w:tcMar>
              <w:top w:type="dxa" w:w="60"/>
              <w:left w:type="dxa" w:w="100"/>
              <w:bottom w:type="dxa" w:w="60"/>
              <w:right w:type="dxa" w:w="100"/>
            </w:tcMar>
          </w:tcPr>
          <w:p>
            <w:r>
              <w:rPr>
                <w:sz w:val="20"/>
                <w:szCs w:val="20"/>
              </w:rPr>
              <w:t xml:space="preserve">ALTA</w:t>
            </w:r>
          </w:p>
        </w:tc>
        <w:tc>
          <w:tcPr>
            <w:tcW w:type="dxa" w:w="2900"/>
            <w:tcMar>
              <w:top w:type="dxa" w:w="60"/>
              <w:left w:type="dxa" w:w="100"/>
              <w:bottom w:type="dxa" w:w="60"/>
              <w:right w:type="dxa" w:w="100"/>
            </w:tcMar>
          </w:tcPr>
          <w:p>
            <w:r>
              <w:rPr>
                <w:sz w:val="20"/>
                <w:szCs w:val="20"/>
              </w:rPr>
              <w:t xml:space="preserve">Apps de fitness, entrenamiento en casa, parques públicos.</w:t>
            </w:r>
          </w:p>
        </w:tc>
        <w:tc>
          <w:tcPr>
            <w:tcW w:type="dxa" w:w="3610"/>
            <w:tcMar>
              <w:top w:type="dxa" w:w="60"/>
              <w:left w:type="dxa" w:w="100"/>
              <w:bottom w:type="dxa" w:w="60"/>
              <w:right w:type="dxa" w:w="100"/>
            </w:tcMar>
          </w:tcPr>
          <w:p>
            <w:r>
              <w:rPr>
                <w:sz w:val="20"/>
                <w:szCs w:val="20"/>
              </w:rPr>
              <w:t xml:space="preserve">Las clases dirigidas y el seguimiento CRM crean comunidad y vínculo que un sustituto digital no ofrece.</w:t>
            </w:r>
          </w:p>
        </w:tc>
      </w:tr>
      <w:tr>
        <w:tc>
          <w:tcPr>
            <w:tcW w:type="dxa" w:w="1900"/>
            <w:tcMar>
              <w:top w:type="dxa" w:w="60"/>
              <w:left w:type="dxa" w:w="100"/>
              <w:bottom w:type="dxa" w:w="60"/>
              <w:right w:type="dxa" w:w="100"/>
            </w:tcMar>
          </w:tcPr>
          <w:p>
            <w:r>
              <w:rPr>
                <w:sz w:val="20"/>
                <w:szCs w:val="20"/>
              </w:rPr>
              <w:t xml:space="preserve">Poder de negociación de clientes</w:t>
            </w:r>
          </w:p>
        </w:tc>
        <w:tc>
          <w:tcPr>
            <w:tcW w:type="dxa" w:w="950"/>
            <w:tcMar>
              <w:top w:type="dxa" w:w="60"/>
              <w:left w:type="dxa" w:w="100"/>
              <w:bottom w:type="dxa" w:w="60"/>
              <w:right w:type="dxa" w:w="100"/>
            </w:tcMar>
          </w:tcPr>
          <w:p>
            <w:r>
              <w:rPr>
                <w:sz w:val="20"/>
                <w:szCs w:val="20"/>
              </w:rPr>
              <w:t xml:space="preserve">ALTA</w:t>
            </w:r>
          </w:p>
        </w:tc>
        <w:tc>
          <w:tcPr>
            <w:tcW w:type="dxa" w:w="2900"/>
            <w:tcMar>
              <w:top w:type="dxa" w:w="60"/>
              <w:left w:type="dxa" w:w="100"/>
              <w:bottom w:type="dxa" w:w="60"/>
              <w:right w:type="dxa" w:w="100"/>
            </w:tcMar>
          </w:tcPr>
          <w:p>
            <w:r>
              <w:rPr>
                <w:sz w:val="20"/>
                <w:szCs w:val="20"/>
              </w:rPr>
              <w:t xml:space="preserve">Costo de cambio casi nulo; el socio puede irse a otro gimnasio.</w:t>
            </w:r>
          </w:p>
        </w:tc>
        <w:tc>
          <w:tcPr>
            <w:tcW w:type="dxa" w:w="3610"/>
            <w:tcMar>
              <w:top w:type="dxa" w:w="60"/>
              <w:left w:type="dxa" w:w="100"/>
              <w:bottom w:type="dxa" w:w="60"/>
              <w:right w:type="dxa" w:w="100"/>
            </w:tcMar>
          </w:tcPr>
          <w:p>
            <w:r>
              <w:rPr>
                <w:sz w:val="20"/>
                <w:szCs w:val="20"/>
              </w:rPr>
              <w:t xml:space="preserve">El CRM detecta la inactividad ANTES del abandono y permite campañas de recuperación dirigidas al segmento correcto.</w:t>
            </w:r>
          </w:p>
        </w:tc>
      </w:tr>
      <w:tr>
        <w:tc>
          <w:tcPr>
            <w:tcW w:type="dxa" w:w="1900"/>
            <w:tcMar>
              <w:top w:type="dxa" w:w="60"/>
              <w:left w:type="dxa" w:w="100"/>
              <w:bottom w:type="dxa" w:w="60"/>
              <w:right w:type="dxa" w:w="100"/>
            </w:tcMar>
          </w:tcPr>
          <w:p>
            <w:r>
              <w:rPr>
                <w:sz w:val="20"/>
                <w:szCs w:val="20"/>
              </w:rPr>
              <w:t xml:space="preserve">Poder de negociación de proveedores</w:t>
            </w:r>
          </w:p>
        </w:tc>
        <w:tc>
          <w:tcPr>
            <w:tcW w:type="dxa" w:w="950"/>
            <w:tcMar>
              <w:top w:type="dxa" w:w="60"/>
              <w:left w:type="dxa" w:w="100"/>
              <w:bottom w:type="dxa" w:w="60"/>
              <w:right w:type="dxa" w:w="100"/>
            </w:tcMar>
          </w:tcPr>
          <w:p>
            <w:r>
              <w:rPr>
                <w:sz w:val="20"/>
                <w:szCs w:val="20"/>
              </w:rPr>
              <w:t xml:space="preserve">MEDIA</w:t>
            </w:r>
          </w:p>
        </w:tc>
        <w:tc>
          <w:tcPr>
            <w:tcW w:type="dxa" w:w="2900"/>
            <w:tcMar>
              <w:top w:type="dxa" w:w="60"/>
              <w:left w:type="dxa" w:w="100"/>
              <w:bottom w:type="dxa" w:w="60"/>
              <w:right w:type="dxa" w:w="100"/>
            </w:tcMar>
          </w:tcPr>
          <w:p>
            <w:r>
              <w:rPr>
                <w:sz w:val="20"/>
                <w:szCs w:val="20"/>
              </w:rPr>
              <w:t xml:space="preserve">Pocos distribuidores de suplementos con precios estables.</w:t>
            </w:r>
          </w:p>
        </w:tc>
        <w:tc>
          <w:tcPr>
            <w:tcW w:type="dxa" w:w="3610"/>
            <w:tcMar>
              <w:top w:type="dxa" w:w="60"/>
              <w:left w:type="dxa" w:w="100"/>
              <w:bottom w:type="dxa" w:w="60"/>
              <w:right w:type="dxa" w:w="100"/>
            </w:tcMar>
          </w:tcPr>
          <w:p>
            <w:r>
              <w:rPr>
                <w:sz w:val="20"/>
                <w:szCs w:val="20"/>
              </w:rPr>
              <w:t xml:space="preserve">El SCM consolida órdenes de compra con datos reales de rotación, mejorando la posición negociadora de la PYME.</w:t>
            </w:r>
          </w:p>
        </w:tc>
      </w:tr>
    </w:tbl>
    <w:p>
      <w:pPr>
        <w:spacing w:after="120" w:line="276"/>
        <w:jc w:val="both"/>
      </w:pPr>
      <w:r>
        <w:rPr>
          <w:sz w:val="22"/>
          <w:szCs w:val="22"/>
        </w:rPr>
        <w:t xml:space="preserve"/>
      </w:r>
    </w:p>
    <w:p>
      <w:pPr>
        <w:spacing w:after="120" w:line="276"/>
        <w:jc w:val="both"/>
      </w:pPr>
      <w:r>
        <w:rPr>
          <w:sz w:val="22"/>
          <w:szCs w:val="22"/>
        </w:rPr>
        <w:t xml:space="preserve">Conclusión estratégica: FitCore opera en una industria de rivalidad alta donde competir por precio erosiona el margen. El SI reposiciona a la empresa hacia una estrategia de diferenciación por servicio e inteligencia de cliente (Porter): retener cuesta menos que adquirir, y ningún competidor del segmento posee capacidad analítica equivalente.</w:t>
      </w:r>
    </w:p>
    <w:p>
      <w:pPr>
        <w:pStyle w:val="Heading2"/>
        <w:spacing w:after="120" w:before="240"/>
      </w:pPr>
      <w:r>
        <w:rPr>
          <w:color w:val="333333"/>
        </w:rPr>
        <w:t xml:space="preserve">2.2 Cadena de Valor: actual vs. propuesta</w:t>
      </w:r>
    </w:p>
    <w:p>
      <w:pPr>
        <w:spacing w:after="120" w:line="276"/>
        <w:jc w:val="both"/>
      </w:pPr>
      <w:r>
        <w:rPr>
          <w:sz w:val="22"/>
          <w:szCs w:val="22"/>
        </w:rPr>
        <w:t xml:space="preserve">El diagnóstico de la cadena de valor evidencia que los eslabones primarios operan desconectados. La propuesta introduce el SI en los eslabones donde agrega valor directo:</w:t>
      </w:r>
    </w:p>
    <w:p>
      <w:pPr>
        <w:spacing w:after="40" w:before="120"/>
        <w:jc w:val="center"/>
      </w:pPr>
      <w:r>
        <w:drawing>
          <wp:inline distT="0" distB="0" distL="0" distR="0">
            <wp:extent cx="5905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71800"/>
                    </a:xfrm>
                    <a:prstGeom prst="rect">
                      <a:avLst/>
                    </a:prstGeom>
                  </pic:spPr>
                </pic:pic>
              </a:graphicData>
            </a:graphic>
          </wp:inline>
        </w:drawing>
      </w:r>
    </w:p>
    <w:p>
      <w:pPr>
        <w:spacing w:after="200"/>
        <w:jc w:val="center"/>
      </w:pPr>
      <w:r>
        <w:rPr>
          <w:i/>
          <w:iCs/>
          <w:color w:val="666666"/>
          <w:sz w:val="18"/>
          <w:szCs w:val="18"/>
        </w:rPr>
        <w:t xml:space="preserve">Figura 1. Cadena de valor actual (manual) frente a la propuesta con el SI integrado.</w:t>
      </w:r>
    </w:p>
    <w:p>
      <w:pPr>
        <w:spacing w:after="120" w:line="276"/>
        <w:jc w:val="both"/>
      </w:pPr>
      <w:r>
        <w:rPr>
          <w:sz w:val="22"/>
          <w:szCs w:val="22"/>
        </w:rPr>
        <w:t xml:space="preserve">Los eslabones de mayor impacto son Logística Interna (el SCM elimina los quiebres de stock), Marketing y Ventas (el RFM permite campañas por segmento) y Servicio Postventa (el CRM convierte la deserción, hoy invisible, en un evento gestionable).</w:t>
      </w:r>
    </w:p>
    <w:p>
      <w:pPr>
        <w:pStyle w:val="Heading2"/>
        <w:spacing w:after="120" w:before="240"/>
      </w:pPr>
      <w:r>
        <w:rPr>
          <w:color w:val="333333"/>
        </w:rPr>
        <w:t xml:space="preserve">2.3 Especificación de requerimientos (SDLC — Análisis)</w:t>
      </w:r>
    </w:p>
    <w:p>
      <w:pPr>
        <w:spacing w:after="120" w:line="276"/>
        <w:jc w:val="both"/>
      </w:pPr>
      <w:r>
        <w:rPr>
          <w:sz w:val="22"/>
          <w:szCs w:val="22"/>
        </w:rPr>
        <w:t xml:space="preserve">Requerimientos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shd w:fill="2E86AB" w:val="clear"/>
            <w:tcMar>
              <w:top w:type="dxa" w:w="60"/>
              <w:left w:type="dxa" w:w="100"/>
              <w:bottom w:type="dxa" w:w="60"/>
              <w:right w:type="dxa" w:w="100"/>
            </w:tcMar>
          </w:tcPr>
          <w:p>
            <w:r>
              <w:rPr>
                <w:b/>
                <w:bCs/>
                <w:color w:val="FFFFFF"/>
                <w:sz w:val="20"/>
                <w:szCs w:val="20"/>
              </w:rPr>
              <w:t xml:space="preserve">ID</w:t>
            </w:r>
          </w:p>
        </w:tc>
        <w:tc>
          <w:tcPr>
            <w:tcW w:type="dxa" w:w="8460"/>
            <w:shd w:fill="2E86AB" w:val="clear"/>
            <w:tcMar>
              <w:top w:type="dxa" w:w="60"/>
              <w:left w:type="dxa" w:w="100"/>
              <w:bottom w:type="dxa" w:w="60"/>
              <w:right w:type="dxa" w:w="100"/>
            </w:tcMar>
          </w:tcPr>
          <w:p>
            <w:r>
              <w:rPr>
                <w:b/>
                <w:bCs/>
                <w:color w:val="FFFFFF"/>
                <w:sz w:val="20"/>
                <w:szCs w:val="20"/>
              </w:rPr>
              <w:t xml:space="preserve">Requerimiento funcional</w:t>
            </w:r>
          </w:p>
        </w:tc>
      </w:tr>
      <w:tr>
        <w:tc>
          <w:tcPr>
            <w:tcW w:type="dxa" w:w="900"/>
            <w:tcMar>
              <w:top w:type="dxa" w:w="60"/>
              <w:left w:type="dxa" w:w="100"/>
              <w:bottom w:type="dxa" w:w="60"/>
              <w:right w:type="dxa" w:w="100"/>
            </w:tcMar>
          </w:tcPr>
          <w:p>
            <w:r>
              <w:rPr>
                <w:sz w:val="20"/>
                <w:szCs w:val="20"/>
              </w:rPr>
              <w:t xml:space="preserve">RF-01</w:t>
            </w:r>
          </w:p>
        </w:tc>
        <w:tc>
          <w:tcPr>
            <w:tcW w:type="dxa" w:w="8460"/>
            <w:tcMar>
              <w:top w:type="dxa" w:w="60"/>
              <w:left w:type="dxa" w:w="100"/>
              <w:bottom w:type="dxa" w:w="60"/>
              <w:right w:type="dxa" w:w="100"/>
            </w:tcMar>
          </w:tcPr>
          <w:p>
            <w:r>
              <w:rPr>
                <w:sz w:val="20"/>
                <w:szCs w:val="20"/>
              </w:rPr>
              <w:t xml:space="preserve">Registrar ventas de membresías, clases y productos asociadas a un socio.</w:t>
            </w:r>
          </w:p>
        </w:tc>
      </w:tr>
      <w:tr>
        <w:tc>
          <w:tcPr>
            <w:tcW w:type="dxa" w:w="900"/>
            <w:tcMar>
              <w:top w:type="dxa" w:w="60"/>
              <w:left w:type="dxa" w:w="100"/>
              <w:bottom w:type="dxa" w:w="60"/>
              <w:right w:type="dxa" w:w="100"/>
            </w:tcMar>
          </w:tcPr>
          <w:p>
            <w:r>
              <w:rPr>
                <w:sz w:val="20"/>
                <w:szCs w:val="20"/>
              </w:rPr>
              <w:t xml:space="preserve">RF-02</w:t>
            </w:r>
          </w:p>
        </w:tc>
        <w:tc>
          <w:tcPr>
            <w:tcW w:type="dxa" w:w="8460"/>
            <w:tcMar>
              <w:top w:type="dxa" w:w="60"/>
              <w:left w:type="dxa" w:w="100"/>
              <w:bottom w:type="dxa" w:w="60"/>
              <w:right w:type="dxa" w:w="100"/>
            </w:tcMar>
          </w:tcPr>
          <w:p>
            <w:r>
              <w:rPr>
                <w:sz w:val="20"/>
                <w:szCs w:val="20"/>
              </w:rPr>
              <w:t xml:space="preserve">Mantener el catálogo de productos con precio, costo, stock y stock mínimo.</w:t>
            </w:r>
          </w:p>
        </w:tc>
      </w:tr>
      <w:tr>
        <w:tc>
          <w:tcPr>
            <w:tcW w:type="dxa" w:w="900"/>
            <w:tcMar>
              <w:top w:type="dxa" w:w="60"/>
              <w:left w:type="dxa" w:w="100"/>
              <w:bottom w:type="dxa" w:w="60"/>
              <w:right w:type="dxa" w:w="100"/>
            </w:tcMar>
          </w:tcPr>
          <w:p>
            <w:r>
              <w:rPr>
                <w:sz w:val="20"/>
                <w:szCs w:val="20"/>
              </w:rPr>
              <w:t xml:space="preserve">RF-03</w:t>
            </w:r>
          </w:p>
        </w:tc>
        <w:tc>
          <w:tcPr>
            <w:tcW w:type="dxa" w:w="8460"/>
            <w:tcMar>
              <w:top w:type="dxa" w:w="60"/>
              <w:left w:type="dxa" w:w="100"/>
              <w:bottom w:type="dxa" w:w="60"/>
              <w:right w:type="dxa" w:w="100"/>
            </w:tcMar>
          </w:tcPr>
          <w:p>
            <w:r>
              <w:rPr>
                <w:sz w:val="20"/>
                <w:szCs w:val="20"/>
              </w:rPr>
              <w:t xml:space="preserve">Registrar y buscar socios (alta, consulta por nombre).</w:t>
            </w:r>
          </w:p>
        </w:tc>
      </w:tr>
      <w:tr>
        <w:tc>
          <w:tcPr>
            <w:tcW w:type="dxa" w:w="900"/>
            <w:tcMar>
              <w:top w:type="dxa" w:w="60"/>
              <w:left w:type="dxa" w:w="100"/>
              <w:bottom w:type="dxa" w:w="60"/>
              <w:right w:type="dxa" w:w="100"/>
            </w:tcMar>
          </w:tcPr>
          <w:p>
            <w:r>
              <w:rPr>
                <w:sz w:val="20"/>
                <w:szCs w:val="20"/>
              </w:rPr>
              <w:t xml:space="preserve">RF-04</w:t>
            </w:r>
          </w:p>
        </w:tc>
        <w:tc>
          <w:tcPr>
            <w:tcW w:type="dxa" w:w="8460"/>
            <w:tcMar>
              <w:top w:type="dxa" w:w="60"/>
              <w:left w:type="dxa" w:w="100"/>
              <w:bottom w:type="dxa" w:w="60"/>
              <w:right w:type="dxa" w:w="100"/>
            </w:tcMar>
          </w:tcPr>
          <w:p>
            <w:r>
              <w:rPr>
                <w:sz w:val="20"/>
                <w:szCs w:val="20"/>
              </w:rPr>
              <w:t xml:space="preserve">Generar automáticamente el asiento contable de cada venta y de cada compra (ERP).</w:t>
            </w:r>
          </w:p>
        </w:tc>
      </w:tr>
      <w:tr>
        <w:tc>
          <w:tcPr>
            <w:tcW w:type="dxa" w:w="900"/>
            <w:tcMar>
              <w:top w:type="dxa" w:w="60"/>
              <w:left w:type="dxa" w:w="100"/>
              <w:bottom w:type="dxa" w:w="60"/>
              <w:right w:type="dxa" w:w="100"/>
            </w:tcMar>
          </w:tcPr>
          <w:p>
            <w:r>
              <w:rPr>
                <w:sz w:val="20"/>
                <w:szCs w:val="20"/>
              </w:rPr>
              <w:t xml:space="preserve">RF-05</w:t>
            </w:r>
          </w:p>
        </w:tc>
        <w:tc>
          <w:tcPr>
            <w:tcW w:type="dxa" w:w="8460"/>
            <w:tcMar>
              <w:top w:type="dxa" w:w="60"/>
              <w:left w:type="dxa" w:w="100"/>
              <w:bottom w:type="dxa" w:w="60"/>
              <w:right w:type="dxa" w:w="100"/>
            </w:tcMar>
          </w:tcPr>
          <w:p>
            <w:r>
              <w:rPr>
                <w:sz w:val="20"/>
                <w:szCs w:val="20"/>
              </w:rPr>
              <w:t xml:space="preserve">Generar automáticamente una orden de compra al proveedor cuando el stock ≤ stock mínimo (SCM).</w:t>
            </w:r>
          </w:p>
        </w:tc>
      </w:tr>
      <w:tr>
        <w:tc>
          <w:tcPr>
            <w:tcW w:type="dxa" w:w="900"/>
            <w:tcMar>
              <w:top w:type="dxa" w:w="60"/>
              <w:left w:type="dxa" w:w="100"/>
              <w:bottom w:type="dxa" w:w="60"/>
              <w:right w:type="dxa" w:w="100"/>
            </w:tcMar>
          </w:tcPr>
          <w:p>
            <w:r>
              <w:rPr>
                <w:sz w:val="20"/>
                <w:szCs w:val="20"/>
              </w:rPr>
              <w:t xml:space="preserve">RF-06</w:t>
            </w:r>
          </w:p>
        </w:tc>
        <w:tc>
          <w:tcPr>
            <w:tcW w:type="dxa" w:w="8460"/>
            <w:tcMar>
              <w:top w:type="dxa" w:w="60"/>
              <w:left w:type="dxa" w:w="100"/>
              <w:bottom w:type="dxa" w:w="60"/>
              <w:right w:type="dxa" w:w="100"/>
            </w:tcMar>
          </w:tcPr>
          <w:p>
            <w:r>
              <w:rPr>
                <w:sz w:val="20"/>
                <w:szCs w:val="20"/>
              </w:rPr>
              <w:t xml:space="preserve">Detectar mediante consulta automatizada a los socios sin compras en más de 30 días y emitir la alerta “Cliente en Riesgo de Deserción” (CRM).</w:t>
            </w:r>
          </w:p>
        </w:tc>
      </w:tr>
      <w:tr>
        <w:tc>
          <w:tcPr>
            <w:tcW w:type="dxa" w:w="900"/>
            <w:tcMar>
              <w:top w:type="dxa" w:w="60"/>
              <w:left w:type="dxa" w:w="100"/>
              <w:bottom w:type="dxa" w:w="60"/>
              <w:right w:type="dxa" w:w="100"/>
            </w:tcMar>
          </w:tcPr>
          <w:p>
            <w:r>
              <w:rPr>
                <w:sz w:val="20"/>
                <w:szCs w:val="20"/>
              </w:rPr>
              <w:t xml:space="preserve">RF-07</w:t>
            </w:r>
          </w:p>
        </w:tc>
        <w:tc>
          <w:tcPr>
            <w:tcW w:type="dxa" w:w="8460"/>
            <w:tcMar>
              <w:top w:type="dxa" w:w="60"/>
              <w:left w:type="dxa" w:w="100"/>
              <w:bottom w:type="dxa" w:w="60"/>
              <w:right w:type="dxa" w:w="100"/>
            </w:tcMar>
          </w:tcPr>
          <w:p>
            <w:r>
              <w:rPr>
                <w:sz w:val="20"/>
                <w:szCs w:val="20"/>
              </w:rPr>
              <w:t xml:space="preserve">Calcular la segmentación RFM de toda la base de clientes y asignar etiquetas estratégicas.</w:t>
            </w:r>
          </w:p>
        </w:tc>
      </w:tr>
      <w:tr>
        <w:tc>
          <w:tcPr>
            <w:tcW w:type="dxa" w:w="900"/>
            <w:tcMar>
              <w:top w:type="dxa" w:w="60"/>
              <w:left w:type="dxa" w:w="100"/>
              <w:bottom w:type="dxa" w:w="60"/>
              <w:right w:type="dxa" w:w="100"/>
            </w:tcMar>
          </w:tcPr>
          <w:p>
            <w:r>
              <w:rPr>
                <w:sz w:val="20"/>
                <w:szCs w:val="20"/>
              </w:rPr>
              <w:t xml:space="preserve">RF-08</w:t>
            </w:r>
          </w:p>
        </w:tc>
        <w:tc>
          <w:tcPr>
            <w:tcW w:type="dxa" w:w="8460"/>
            <w:tcMar>
              <w:top w:type="dxa" w:w="60"/>
              <w:left w:type="dxa" w:w="100"/>
              <w:bottom w:type="dxa" w:w="60"/>
              <w:right w:type="dxa" w:w="100"/>
            </w:tcMar>
          </w:tcPr>
          <w:p>
            <w:r>
              <w:rPr>
                <w:sz w:val="20"/>
                <w:szCs w:val="20"/>
              </w:rPr>
              <w:t xml:space="preserve">Generar el dashboard gerencial con ventas temporales, segmentos RFM, KPI financiero y alertas CRM.</w:t>
            </w:r>
          </w:p>
        </w:tc>
      </w:tr>
      <w:tr>
        <w:tc>
          <w:tcPr>
            <w:tcW w:type="dxa" w:w="900"/>
            <w:tcMar>
              <w:top w:type="dxa" w:w="60"/>
              <w:left w:type="dxa" w:w="100"/>
              <w:bottom w:type="dxa" w:w="60"/>
              <w:right w:type="dxa" w:w="100"/>
            </w:tcMar>
          </w:tcPr>
          <w:p>
            <w:r>
              <w:rPr>
                <w:sz w:val="20"/>
                <w:szCs w:val="20"/>
              </w:rPr>
              <w:t xml:space="preserve">RF-09</w:t>
            </w:r>
          </w:p>
        </w:tc>
        <w:tc>
          <w:tcPr>
            <w:tcW w:type="dxa" w:w="8460"/>
            <w:tcMar>
              <w:top w:type="dxa" w:w="60"/>
              <w:left w:type="dxa" w:w="100"/>
              <w:bottom w:type="dxa" w:w="60"/>
              <w:right w:type="dxa" w:w="100"/>
            </w:tcMar>
          </w:tcPr>
          <w:p>
            <w:r>
              <w:rPr>
                <w:sz w:val="20"/>
                <w:szCs w:val="20"/>
              </w:rPr>
              <w:t xml:space="preserve">Cerrar automáticamente la alerta de riesgo si el socio vuelve a comprar (recuperación).</w:t>
            </w:r>
          </w:p>
        </w:tc>
      </w:tr>
    </w:tbl>
    <w:p>
      <w:pPr>
        <w:spacing w:after="120" w:line="276"/>
        <w:jc w:val="both"/>
      </w:pPr>
      <w:r>
        <w:rPr>
          <w:sz w:val="22"/>
          <w:szCs w:val="22"/>
        </w:rPr>
        <w:t xml:space="preserve"/>
      </w:r>
    </w:p>
    <w:p>
      <w:pPr>
        <w:spacing w:after="120" w:line="276"/>
        <w:jc w:val="both"/>
      </w:pPr>
      <w:r>
        <w:rPr>
          <w:sz w:val="22"/>
          <w:szCs w:val="22"/>
        </w:rPr>
        <w:t xml:space="preserve">Requerimientos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6760"/>
      </w:tblGrid>
      <w:tr>
        <w:tc>
          <w:tcPr>
            <w:tcW w:type="dxa" w:w="900"/>
            <w:shd w:fill="2E86AB" w:val="clear"/>
            <w:tcMar>
              <w:top w:type="dxa" w:w="60"/>
              <w:left w:type="dxa" w:w="100"/>
              <w:bottom w:type="dxa" w:w="60"/>
              <w:right w:type="dxa" w:w="100"/>
            </w:tcMar>
          </w:tcPr>
          <w:p>
            <w:r>
              <w:rPr>
                <w:b/>
                <w:bCs/>
                <w:color w:val="FFFFFF"/>
                <w:sz w:val="20"/>
                <w:szCs w:val="20"/>
              </w:rPr>
              <w:t xml:space="preserve">ID</w:t>
            </w:r>
          </w:p>
        </w:tc>
        <w:tc>
          <w:tcPr>
            <w:tcW w:type="dxa" w:w="1700"/>
            <w:shd w:fill="2E86AB" w:val="clear"/>
            <w:tcMar>
              <w:top w:type="dxa" w:w="60"/>
              <w:left w:type="dxa" w:w="100"/>
              <w:bottom w:type="dxa" w:w="60"/>
              <w:right w:type="dxa" w:w="100"/>
            </w:tcMar>
          </w:tcPr>
          <w:p>
            <w:r>
              <w:rPr>
                <w:b/>
                <w:bCs/>
                <w:color w:val="FFFFFF"/>
                <w:sz w:val="20"/>
                <w:szCs w:val="20"/>
              </w:rPr>
              <w:t xml:space="preserve">Categoría</w:t>
            </w:r>
          </w:p>
        </w:tc>
        <w:tc>
          <w:tcPr>
            <w:tcW w:type="dxa" w:w="6760"/>
            <w:shd w:fill="2E86AB" w:val="clear"/>
            <w:tcMar>
              <w:top w:type="dxa" w:w="60"/>
              <w:left w:type="dxa" w:w="100"/>
              <w:bottom w:type="dxa" w:w="60"/>
              <w:right w:type="dxa" w:w="100"/>
            </w:tcMar>
          </w:tcPr>
          <w:p>
            <w:r>
              <w:rPr>
                <w:b/>
                <w:bCs/>
                <w:color w:val="FFFFFF"/>
                <w:sz w:val="20"/>
                <w:szCs w:val="20"/>
              </w:rPr>
              <w:t xml:space="preserve">Restricción</w:t>
            </w:r>
          </w:p>
        </w:tc>
      </w:tr>
      <w:tr>
        <w:tc>
          <w:tcPr>
            <w:tcW w:type="dxa" w:w="900"/>
            <w:tcMar>
              <w:top w:type="dxa" w:w="60"/>
              <w:left w:type="dxa" w:w="100"/>
              <w:bottom w:type="dxa" w:w="60"/>
              <w:right w:type="dxa" w:w="100"/>
            </w:tcMar>
          </w:tcPr>
          <w:p>
            <w:r>
              <w:rPr>
                <w:sz w:val="20"/>
                <w:szCs w:val="20"/>
              </w:rPr>
              <w:t xml:space="preserve">RNF-01</w:t>
            </w:r>
          </w:p>
        </w:tc>
        <w:tc>
          <w:tcPr>
            <w:tcW w:type="dxa" w:w="1700"/>
            <w:tcMar>
              <w:top w:type="dxa" w:w="60"/>
              <w:left w:type="dxa" w:w="100"/>
              <w:bottom w:type="dxa" w:w="60"/>
              <w:right w:type="dxa" w:w="100"/>
            </w:tcMar>
          </w:tcPr>
          <w:p>
            <w:r>
              <w:rPr>
                <w:sz w:val="20"/>
                <w:szCs w:val="20"/>
              </w:rPr>
              <w:t xml:space="preserve">Rendimiento</w:t>
            </w:r>
          </w:p>
        </w:tc>
        <w:tc>
          <w:tcPr>
            <w:tcW w:type="dxa" w:w="6760"/>
            <w:tcMar>
              <w:top w:type="dxa" w:w="60"/>
              <w:left w:type="dxa" w:w="100"/>
              <w:bottom w:type="dxa" w:w="60"/>
              <w:right w:type="dxa" w:w="100"/>
            </w:tcMar>
          </w:tcPr>
          <w:p>
            <w:r>
              <w:rPr>
                <w:sz w:val="20"/>
                <w:szCs w:val="20"/>
              </w:rPr>
              <w:t xml:space="preserve">El registro de una venta y sus reacciones (ERP/SCM) debe completarse en &lt; 2 segundos.</w:t>
            </w:r>
          </w:p>
        </w:tc>
      </w:tr>
      <w:tr>
        <w:tc>
          <w:tcPr>
            <w:tcW w:type="dxa" w:w="900"/>
            <w:tcMar>
              <w:top w:type="dxa" w:w="60"/>
              <w:left w:type="dxa" w:w="100"/>
              <w:bottom w:type="dxa" w:w="60"/>
              <w:right w:type="dxa" w:w="100"/>
            </w:tcMar>
          </w:tcPr>
          <w:p>
            <w:r>
              <w:rPr>
                <w:sz w:val="20"/>
                <w:szCs w:val="20"/>
              </w:rPr>
              <w:t xml:space="preserve">RNF-02</w:t>
            </w:r>
          </w:p>
        </w:tc>
        <w:tc>
          <w:tcPr>
            <w:tcW w:type="dxa" w:w="1700"/>
            <w:tcMar>
              <w:top w:type="dxa" w:w="60"/>
              <w:left w:type="dxa" w:w="100"/>
              <w:bottom w:type="dxa" w:w="60"/>
              <w:right w:type="dxa" w:w="100"/>
            </w:tcMar>
          </w:tcPr>
          <w:p>
            <w:r>
              <w:rPr>
                <w:sz w:val="20"/>
                <w:szCs w:val="20"/>
              </w:rPr>
              <w:t xml:space="preserve">Integridad</w:t>
            </w:r>
          </w:p>
        </w:tc>
        <w:tc>
          <w:tcPr>
            <w:tcW w:type="dxa" w:w="6760"/>
            <w:tcMar>
              <w:top w:type="dxa" w:w="60"/>
              <w:left w:type="dxa" w:w="100"/>
              <w:bottom w:type="dxa" w:w="60"/>
              <w:right w:type="dxa" w:w="100"/>
            </w:tcMar>
          </w:tcPr>
          <w:p>
            <w:r>
              <w:rPr>
                <w:sz w:val="20"/>
                <w:szCs w:val="20"/>
              </w:rPr>
              <w:t xml:space="preserve">Persistencia transaccional en SQLite con claves foráneas activas; sin pérdida de datos ante reinicio.</w:t>
            </w:r>
          </w:p>
        </w:tc>
      </w:tr>
      <w:tr>
        <w:tc>
          <w:tcPr>
            <w:tcW w:type="dxa" w:w="900"/>
            <w:tcMar>
              <w:top w:type="dxa" w:w="60"/>
              <w:left w:type="dxa" w:w="100"/>
              <w:bottom w:type="dxa" w:w="60"/>
              <w:right w:type="dxa" w:w="100"/>
            </w:tcMar>
          </w:tcPr>
          <w:p>
            <w:r>
              <w:rPr>
                <w:sz w:val="20"/>
                <w:szCs w:val="20"/>
              </w:rPr>
              <w:t xml:space="preserve">RNF-03</w:t>
            </w:r>
          </w:p>
        </w:tc>
        <w:tc>
          <w:tcPr>
            <w:tcW w:type="dxa" w:w="1700"/>
            <w:tcMar>
              <w:top w:type="dxa" w:w="60"/>
              <w:left w:type="dxa" w:w="100"/>
              <w:bottom w:type="dxa" w:w="60"/>
              <w:right w:type="dxa" w:w="100"/>
            </w:tcMar>
          </w:tcPr>
          <w:p>
            <w:r>
              <w:rPr>
                <w:sz w:val="20"/>
                <w:szCs w:val="20"/>
              </w:rPr>
              <w:t xml:space="preserve">Mantenibilidad</w:t>
            </w:r>
          </w:p>
        </w:tc>
        <w:tc>
          <w:tcPr>
            <w:tcW w:type="dxa" w:w="6760"/>
            <w:tcMar>
              <w:top w:type="dxa" w:w="60"/>
              <w:left w:type="dxa" w:w="100"/>
              <w:bottom w:type="dxa" w:w="60"/>
              <w:right w:type="dxa" w:w="100"/>
            </w:tcMar>
          </w:tcPr>
          <w:p>
            <w:r>
              <w:rPr>
                <w:sz w:val="20"/>
                <w:szCs w:val="20"/>
              </w:rPr>
              <w:t xml:space="preserve">Arquitectura modular desacoplada: los módulos se comunican solo mediante el bus de eventos.</w:t>
            </w:r>
          </w:p>
        </w:tc>
      </w:tr>
      <w:tr>
        <w:tc>
          <w:tcPr>
            <w:tcW w:type="dxa" w:w="900"/>
            <w:tcMar>
              <w:top w:type="dxa" w:w="60"/>
              <w:left w:type="dxa" w:w="100"/>
              <w:bottom w:type="dxa" w:w="60"/>
              <w:right w:type="dxa" w:w="100"/>
            </w:tcMar>
          </w:tcPr>
          <w:p>
            <w:r>
              <w:rPr>
                <w:sz w:val="20"/>
                <w:szCs w:val="20"/>
              </w:rPr>
              <w:t xml:space="preserve">RNF-04</w:t>
            </w:r>
          </w:p>
        </w:tc>
        <w:tc>
          <w:tcPr>
            <w:tcW w:type="dxa" w:w="1700"/>
            <w:tcMar>
              <w:top w:type="dxa" w:w="60"/>
              <w:left w:type="dxa" w:w="100"/>
              <w:bottom w:type="dxa" w:w="60"/>
              <w:right w:type="dxa" w:w="100"/>
            </w:tcMar>
          </w:tcPr>
          <w:p>
            <w:r>
              <w:rPr>
                <w:sz w:val="20"/>
                <w:szCs w:val="20"/>
              </w:rPr>
              <w:t xml:space="preserve">Usabilidad</w:t>
            </w:r>
          </w:p>
        </w:tc>
        <w:tc>
          <w:tcPr>
            <w:tcW w:type="dxa" w:w="6760"/>
            <w:tcMar>
              <w:top w:type="dxa" w:w="60"/>
              <w:left w:type="dxa" w:w="100"/>
              <w:bottom w:type="dxa" w:w="60"/>
              <w:right w:type="dxa" w:w="100"/>
            </w:tcMar>
          </w:tcPr>
          <w:p>
            <w:r>
              <w:rPr>
                <w:sz w:val="20"/>
                <w:szCs w:val="20"/>
              </w:rPr>
              <w:t xml:space="preserve">El personal debe poder registrar una venta en máximo 4 pasos desde el menú.</w:t>
            </w:r>
          </w:p>
        </w:tc>
      </w:tr>
      <w:tr>
        <w:tc>
          <w:tcPr>
            <w:tcW w:type="dxa" w:w="900"/>
            <w:tcMar>
              <w:top w:type="dxa" w:w="60"/>
              <w:left w:type="dxa" w:w="100"/>
              <w:bottom w:type="dxa" w:w="60"/>
              <w:right w:type="dxa" w:w="100"/>
            </w:tcMar>
          </w:tcPr>
          <w:p>
            <w:r>
              <w:rPr>
                <w:sz w:val="20"/>
                <w:szCs w:val="20"/>
              </w:rPr>
              <w:t xml:space="preserve">RNF-05</w:t>
            </w:r>
          </w:p>
        </w:tc>
        <w:tc>
          <w:tcPr>
            <w:tcW w:type="dxa" w:w="1700"/>
            <w:tcMar>
              <w:top w:type="dxa" w:w="60"/>
              <w:left w:type="dxa" w:w="100"/>
              <w:bottom w:type="dxa" w:w="60"/>
              <w:right w:type="dxa" w:w="100"/>
            </w:tcMar>
          </w:tcPr>
          <w:p>
            <w:r>
              <w:rPr>
                <w:sz w:val="20"/>
                <w:szCs w:val="20"/>
              </w:rPr>
              <w:t xml:space="preserve">Portabilidad</w:t>
            </w:r>
          </w:p>
        </w:tc>
        <w:tc>
          <w:tcPr>
            <w:tcW w:type="dxa" w:w="6760"/>
            <w:tcMar>
              <w:top w:type="dxa" w:w="60"/>
              <w:left w:type="dxa" w:w="100"/>
              <w:bottom w:type="dxa" w:w="60"/>
              <w:right w:type="dxa" w:w="100"/>
            </w:tcMar>
          </w:tcPr>
          <w:p>
            <w:r>
              <w:rPr>
                <w:sz w:val="20"/>
                <w:szCs w:val="20"/>
              </w:rPr>
              <w:t xml:space="preserve">Ejecución con Python 3.10+ y dependencias mínimas (pandas, matplotlib), sin instalación de servidores.</w:t>
            </w:r>
          </w:p>
        </w:tc>
      </w:tr>
      <w:tr>
        <w:tc>
          <w:tcPr>
            <w:tcW w:type="dxa" w:w="900"/>
            <w:tcMar>
              <w:top w:type="dxa" w:w="60"/>
              <w:left w:type="dxa" w:w="100"/>
              <w:bottom w:type="dxa" w:w="60"/>
              <w:right w:type="dxa" w:w="100"/>
            </w:tcMar>
          </w:tcPr>
          <w:p>
            <w:r>
              <w:rPr>
                <w:sz w:val="20"/>
                <w:szCs w:val="20"/>
              </w:rPr>
              <w:t xml:space="preserve">RNF-06</w:t>
            </w:r>
          </w:p>
        </w:tc>
        <w:tc>
          <w:tcPr>
            <w:tcW w:type="dxa" w:w="1700"/>
            <w:tcMar>
              <w:top w:type="dxa" w:w="60"/>
              <w:left w:type="dxa" w:w="100"/>
              <w:bottom w:type="dxa" w:w="60"/>
              <w:right w:type="dxa" w:w="100"/>
            </w:tcMar>
          </w:tcPr>
          <w:p>
            <w:r>
              <w:rPr>
                <w:sz w:val="20"/>
                <w:szCs w:val="20"/>
              </w:rPr>
              <w:t xml:space="preserve">Escalabilidad</w:t>
            </w:r>
          </w:p>
        </w:tc>
        <w:tc>
          <w:tcPr>
            <w:tcW w:type="dxa" w:w="6760"/>
            <w:tcMar>
              <w:top w:type="dxa" w:w="60"/>
              <w:left w:type="dxa" w:w="100"/>
              <w:bottom w:type="dxa" w:w="60"/>
              <w:right w:type="dxa" w:w="100"/>
            </w:tcMar>
          </w:tcPr>
          <w:p>
            <w:r>
              <w:rPr>
                <w:sz w:val="20"/>
                <w:szCs w:val="20"/>
              </w:rPr>
              <w:t xml:space="preserve">El diseño por eventos permite añadir nuevos módulos suscriptores sin modificar el Core.</w:t>
            </w:r>
          </w:p>
        </w:tc>
      </w:tr>
    </w:tbl>
    <w:p>
      <w:pPr>
        <w:pStyle w:val="Heading2"/>
        <w:spacing w:after="120" w:before="240"/>
      </w:pPr>
      <w:r>
        <w:rPr>
          <w:color w:val="333333"/>
        </w:rPr>
        <w:t xml:space="preserve">2.4 Integración empresarial: cómo se evitan los silos de información</w:t>
      </w:r>
    </w:p>
    <w:p>
      <w:pPr>
        <w:spacing w:after="120" w:line="276"/>
        <w:jc w:val="both"/>
      </w:pPr>
      <w:r>
        <w:rPr>
          <w:sz w:val="22"/>
          <w:szCs w:val="22"/>
        </w:rPr>
        <w:t xml:space="preserve">En una empresa tradicional, cada área mantiene sus propios registros (ventas en un cuaderno, contabilidad en Excel, compras en la memoria del dueño): eso es un silo de información. La teoría de integración empresarial propone que los sistemas transaccionales (TPS) alimenten automáticamente a los sistemas de gestión (ERP, SCM, CRM) compartiendo una única fuente de verdad.</w:t>
      </w:r>
    </w:p>
    <w:p>
      <w:pPr>
        <w:spacing w:after="120" w:line="276"/>
        <w:jc w:val="both"/>
      </w:pPr>
      <w:r>
        <w:rPr>
          <w:sz w:val="22"/>
          <w:szCs w:val="22"/>
        </w:rPr>
        <w:t xml:space="preserve">Nuestra solución materializa ese principio con dos decisiones de diseño: (1) una base de datos única (SQLite) que actúa como repositorio central de clientes, ventas, inventario, contabilidad y alertas; y (2) un bus de eventos (patrón Observador) por el cual el Core publica hechos de negocio (“venta_registrada”, “stock_bajo”) y los módulos suscritos reaccionan sin acoplamiento. En un escenario real, este mismo diseño escala reemplazando el bus interno por middleware empresarial (colas de mensajes, APIs REST o un ESB) y los módulos por sistemas comerciales (SAP, Odoo, Salesforce), sin cambiar la lógica del Core.</w:t>
      </w:r>
    </w:p>
    <w:p>
      <w:pPr>
        <w:pStyle w:val="Heading2"/>
        <w:spacing w:after="120" w:before="240"/>
      </w:pPr>
      <w:r>
        <w:rPr>
          <w:color w:val="333333"/>
        </w:rPr>
        <w:t xml:space="preserve">2.5 Diseño técnico: Diagrama Entidad-Relación</w:t>
      </w:r>
    </w:p>
    <w:p>
      <w:pPr>
        <w:spacing w:after="40" w:before="120"/>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705225"/>
                    </a:xfrm>
                    <a:prstGeom prst="rect">
                      <a:avLst/>
                    </a:prstGeom>
                  </pic:spPr>
                </pic:pic>
              </a:graphicData>
            </a:graphic>
          </wp:inline>
        </w:drawing>
      </w:r>
    </w:p>
    <w:p>
      <w:pPr>
        <w:spacing w:after="200"/>
        <w:jc w:val="center"/>
      </w:pPr>
      <w:r>
        <w:rPr>
          <w:i/>
          <w:iCs/>
          <w:color w:val="666666"/>
          <w:sz w:val="18"/>
          <w:szCs w:val="18"/>
        </w:rPr>
        <w:t xml:space="preserve">Figura 2. Modelo de datos del ecosistema: 9 tablas que cubren Core, ERP, SCM, CRM y analítica.</w:t>
      </w:r>
    </w:p>
    <w:p>
      <w:pPr>
        <w:spacing w:after="120" w:line="276"/>
        <w:jc w:val="both"/>
      </w:pPr>
      <w:r>
        <w:rPr>
          <w:sz w:val="22"/>
          <w:szCs w:val="22"/>
        </w:rPr>
        <w:t xml:space="preserve">El modelo cumple y supera el mínimo exigido (Clientes, Productos, Transacciones): la venta se descompone en cabecera (VENTAS) y detalle (DETALLE_VENTA) para soportar facturas multiproducto; PRODUCTOS distingue bienes físicos (con stock y proveedor) de servicios (membresías y clases, sin stock); y cada módulo satélite persiste sus propios hechos (ASIENTOS_CONTABLES, ORDENES_COMPRA, ALERTAS_CRM, SEGMENTOS_RFM) siempre enlazados por claves foráneas a las entidades del Core.</w:t>
      </w:r>
    </w:p>
    <w:p>
      <w:pPr>
        <w:pStyle w:val="Heading2"/>
        <w:spacing w:after="120" w:before="240"/>
      </w:pPr>
      <w:r>
        <w:rPr>
          <w:color w:val="333333"/>
        </w:rPr>
        <w:t xml:space="preserve">2.6 Mockups de las interfaces principales</w:t>
      </w:r>
    </w:p>
    <w:p>
      <w:pPr>
        <w:spacing w:after="40" w:before="120"/>
        <w:jc w:val="center"/>
      </w:pPr>
      <w:r>
        <w:drawing>
          <wp:inline distT="0" distB="0" distL="0" distR="0">
            <wp:extent cx="4572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28950"/>
                    </a:xfrm>
                    <a:prstGeom prst="rect">
                      <a:avLst/>
                    </a:prstGeom>
                  </pic:spPr>
                </pic:pic>
              </a:graphicData>
            </a:graphic>
          </wp:inline>
        </w:drawing>
      </w:r>
    </w:p>
    <w:p>
      <w:pPr>
        <w:spacing w:after="200"/>
        <w:jc w:val="center"/>
      </w:pPr>
      <w:r>
        <w:rPr>
          <w:i/>
          <w:iCs/>
          <w:color w:val="666666"/>
          <w:sz w:val="18"/>
          <w:szCs w:val="18"/>
        </w:rPr>
        <w:t xml:space="preserve">Figura 3. Mockup del punto de venta (Core): búsqueda de socio, catálogo y carrito.</w:t>
      </w:r>
    </w:p>
    <w:p>
      <w:pPr>
        <w:spacing w:after="4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66666"/>
          <w:sz w:val="18"/>
          <w:szCs w:val="18"/>
        </w:rPr>
        <w:t xml:space="preserve">Figura 4. Mockup del panel gerencial: los cuatro cuadrantes del tablero de control.</w:t>
      </w:r>
    </w:p>
    <w:p>
      <w:r>
        <w:br w:type="page"/>
      </w:r>
    </w:p>
    <w:p>
      <w:pPr>
        <w:pStyle w:val="Heading1"/>
        <w:spacing w:after="160" w:before="320"/>
      </w:pPr>
      <w:r>
        <w:rPr>
          <w:color w:val="2E86AB"/>
        </w:rPr>
        <w:t xml:space="preserve">3. Documentación Técnica</w:t>
      </w:r>
    </w:p>
    <w:p>
      <w:pPr>
        <w:pStyle w:val="Heading2"/>
        <w:spacing w:after="120" w:before="240"/>
      </w:pPr>
      <w:r>
        <w:rPr>
          <w:color w:val="333333"/>
        </w:rPr>
        <w:t xml:space="preserve">3.1 Arquitectura y clases del sistema</w:t>
      </w:r>
    </w:p>
    <w:p>
      <w:pPr>
        <w:spacing w:after="120" w:line="276"/>
        <w:jc w:val="both"/>
      </w:pPr>
      <w:r>
        <w:rPr>
          <w:sz w:val="22"/>
          <w:szCs w:val="22"/>
        </w:rPr>
        <w:t xml:space="preserve">El sistema fue desarrollado en Python 3 con Programación Orientada a Objetos y persistencia en SQLite. La arquitectura separa el dominio (clases), la lógica del Core, los módulos satélite y la analítica: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shd w:fill="2E86AB" w:val="clear"/>
            <w:tcMar>
              <w:top w:type="dxa" w:w="60"/>
              <w:left w:type="dxa" w:w="100"/>
              <w:bottom w:type="dxa" w:w="60"/>
              <w:right w:type="dxa" w:w="100"/>
            </w:tcMar>
          </w:tcPr>
          <w:p>
            <w:r>
              <w:rPr>
                <w:b/>
                <w:bCs/>
                <w:color w:val="FFFFFF"/>
                <w:sz w:val="20"/>
                <w:szCs w:val="20"/>
              </w:rPr>
              <w:t xml:space="preserve">Clase</w:t>
            </w:r>
          </w:p>
        </w:tc>
        <w:tc>
          <w:tcPr>
            <w:tcW w:type="dxa" w:w="1900"/>
            <w:shd w:fill="2E86AB" w:val="clear"/>
            <w:tcMar>
              <w:top w:type="dxa" w:w="60"/>
              <w:left w:type="dxa" w:w="100"/>
              <w:bottom w:type="dxa" w:w="60"/>
              <w:right w:type="dxa" w:w="100"/>
            </w:tcMar>
          </w:tcPr>
          <w:p>
            <w:r>
              <w:rPr>
                <w:b/>
                <w:bCs/>
                <w:color w:val="FFFFFF"/>
                <w:sz w:val="20"/>
                <w:szCs w:val="20"/>
              </w:rPr>
              <w:t xml:space="preserve">Archivo</w:t>
            </w:r>
          </w:p>
        </w:tc>
        <w:tc>
          <w:tcPr>
            <w:tcW w:type="dxa" w:w="5360"/>
            <w:shd w:fill="2E86AB" w:val="clear"/>
            <w:tcMar>
              <w:top w:type="dxa" w:w="60"/>
              <w:left w:type="dxa" w:w="100"/>
              <w:bottom w:type="dxa" w:w="60"/>
              <w:right w:type="dxa" w:w="100"/>
            </w:tcMar>
          </w:tcPr>
          <w:p>
            <w:r>
              <w:rPr>
                <w:b/>
                <w:bCs/>
                <w:color w:val="FFFFFF"/>
                <w:sz w:val="20"/>
                <w:szCs w:val="20"/>
              </w:rPr>
              <w:t xml:space="preserve">Responsabilidad</w:t>
            </w:r>
          </w:p>
        </w:tc>
      </w:tr>
      <w:tr>
        <w:tc>
          <w:tcPr>
            <w:tcW w:type="dxa" w:w="2100"/>
            <w:tcMar>
              <w:top w:type="dxa" w:w="60"/>
              <w:left w:type="dxa" w:w="100"/>
              <w:bottom w:type="dxa" w:w="60"/>
              <w:right w:type="dxa" w:w="100"/>
            </w:tcMar>
          </w:tcPr>
          <w:p>
            <w:r>
              <w:rPr>
                <w:sz w:val="20"/>
                <w:szCs w:val="20"/>
              </w:rPr>
              <w:t xml:space="preserve">Cliente</w:t>
            </w:r>
          </w:p>
        </w:tc>
        <w:tc>
          <w:tcPr>
            <w:tcW w:type="dxa" w:w="1900"/>
            <w:tcMar>
              <w:top w:type="dxa" w:w="60"/>
              <w:left w:type="dxa" w:w="100"/>
              <w:bottom w:type="dxa" w:w="60"/>
              <w:right w:type="dxa" w:w="100"/>
            </w:tcMar>
          </w:tcPr>
          <w:p>
            <w:r>
              <w:rPr>
                <w:sz w:val="20"/>
                <w:szCs w:val="20"/>
              </w:rPr>
              <w:t xml:space="preserve">core/modelos.py</w:t>
            </w:r>
          </w:p>
        </w:tc>
        <w:tc>
          <w:tcPr>
            <w:tcW w:type="dxa" w:w="5360"/>
            <w:tcMar>
              <w:top w:type="dxa" w:w="60"/>
              <w:left w:type="dxa" w:w="100"/>
              <w:bottom w:type="dxa" w:w="60"/>
              <w:right w:type="dxa" w:w="100"/>
            </w:tcMar>
          </w:tcPr>
          <w:p>
            <w:r>
              <w:rPr>
                <w:sz w:val="20"/>
                <w:szCs w:val="20"/>
              </w:rPr>
              <w:t xml:space="preserve">Socio del gimnasio; conserva los atributos del perfil (contrato, frecuencia, antigüedad) heredados del dataset.</w:t>
            </w:r>
          </w:p>
        </w:tc>
      </w:tr>
      <w:tr>
        <w:tc>
          <w:tcPr>
            <w:tcW w:type="dxa" w:w="2100"/>
            <w:tcMar>
              <w:top w:type="dxa" w:w="60"/>
              <w:left w:type="dxa" w:w="100"/>
              <w:bottom w:type="dxa" w:w="60"/>
              <w:right w:type="dxa" w:w="100"/>
            </w:tcMar>
          </w:tcPr>
          <w:p>
            <w:r>
              <w:rPr>
                <w:sz w:val="20"/>
                <w:szCs w:val="20"/>
              </w:rPr>
              <w:t xml:space="preserve">Producto</w:t>
            </w:r>
          </w:p>
        </w:tc>
        <w:tc>
          <w:tcPr>
            <w:tcW w:type="dxa" w:w="1900"/>
            <w:tcMar>
              <w:top w:type="dxa" w:w="60"/>
              <w:left w:type="dxa" w:w="100"/>
              <w:bottom w:type="dxa" w:w="60"/>
              <w:right w:type="dxa" w:w="100"/>
            </w:tcMar>
          </w:tcPr>
          <w:p>
            <w:r>
              <w:rPr>
                <w:sz w:val="20"/>
                <w:szCs w:val="20"/>
              </w:rPr>
              <w:t xml:space="preserve">core/modelos.py</w:t>
            </w:r>
          </w:p>
        </w:tc>
        <w:tc>
          <w:tcPr>
            <w:tcW w:type="dxa" w:w="5360"/>
            <w:tcMar>
              <w:top w:type="dxa" w:w="60"/>
              <w:left w:type="dxa" w:w="100"/>
              <w:bottom w:type="dxa" w:w="60"/>
              <w:right w:type="dxa" w:w="100"/>
            </w:tcMar>
          </w:tcPr>
          <w:p>
            <w:r>
              <w:rPr>
                <w:sz w:val="20"/>
                <w:szCs w:val="20"/>
              </w:rPr>
              <w:t xml:space="preserve">Clase base de todo lo vendible. Encapsula el stock (atributo privado _stock) y expone descontar_stock(), que avisa si se cruzó el mínimo.</w:t>
            </w:r>
          </w:p>
        </w:tc>
      </w:tr>
      <w:tr>
        <w:tc>
          <w:tcPr>
            <w:tcW w:type="dxa" w:w="2100"/>
            <w:tcMar>
              <w:top w:type="dxa" w:w="60"/>
              <w:left w:type="dxa" w:w="100"/>
              <w:bottom w:type="dxa" w:w="60"/>
              <w:right w:type="dxa" w:w="100"/>
            </w:tcMar>
          </w:tcPr>
          <w:p>
            <w:r>
              <w:rPr>
                <w:sz w:val="20"/>
                <w:szCs w:val="20"/>
              </w:rPr>
              <w:t xml:space="preserve">Membresia / ClaseDirigida</w:t>
            </w:r>
          </w:p>
        </w:tc>
        <w:tc>
          <w:tcPr>
            <w:tcW w:type="dxa" w:w="1900"/>
            <w:tcMar>
              <w:top w:type="dxa" w:w="60"/>
              <w:left w:type="dxa" w:w="100"/>
              <w:bottom w:type="dxa" w:w="60"/>
              <w:right w:type="dxa" w:w="100"/>
            </w:tcMar>
          </w:tcPr>
          <w:p>
            <w:r>
              <w:rPr>
                <w:sz w:val="20"/>
                <w:szCs w:val="20"/>
              </w:rPr>
              <w:t xml:space="preserve">core/modelos.py</w:t>
            </w:r>
          </w:p>
        </w:tc>
        <w:tc>
          <w:tcPr>
            <w:tcW w:type="dxa" w:w="5360"/>
            <w:tcMar>
              <w:top w:type="dxa" w:w="60"/>
              <w:left w:type="dxa" w:w="100"/>
              <w:bottom w:type="dxa" w:w="60"/>
              <w:right w:type="dxa" w:w="100"/>
            </w:tcMar>
          </w:tcPr>
          <w:p>
            <w:r>
              <w:rPr>
                <w:sz w:val="20"/>
                <w:szCs w:val="20"/>
              </w:rPr>
              <w:t xml:space="preserve">Subclases de Producto (herencia). Redefinen es_servicio() (polimorfismo): no manejan inventario.</w:t>
            </w:r>
          </w:p>
        </w:tc>
      </w:tr>
      <w:tr>
        <w:tc>
          <w:tcPr>
            <w:tcW w:type="dxa" w:w="2100"/>
            <w:tcMar>
              <w:top w:type="dxa" w:w="60"/>
              <w:left w:type="dxa" w:w="100"/>
              <w:bottom w:type="dxa" w:w="60"/>
              <w:right w:type="dxa" w:w="100"/>
            </w:tcMar>
          </w:tcPr>
          <w:p>
            <w:r>
              <w:rPr>
                <w:sz w:val="20"/>
                <w:szCs w:val="20"/>
              </w:rPr>
              <w:t xml:space="preserve">Venta / DetalleVenta</w:t>
            </w:r>
          </w:p>
        </w:tc>
        <w:tc>
          <w:tcPr>
            <w:tcW w:type="dxa" w:w="1900"/>
            <w:tcMar>
              <w:top w:type="dxa" w:w="60"/>
              <w:left w:type="dxa" w:w="100"/>
              <w:bottom w:type="dxa" w:w="60"/>
              <w:right w:type="dxa" w:w="100"/>
            </w:tcMar>
          </w:tcPr>
          <w:p>
            <w:r>
              <w:rPr>
                <w:sz w:val="20"/>
                <w:szCs w:val="20"/>
              </w:rPr>
              <w:t xml:space="preserve">core/modelos.py</w:t>
            </w:r>
          </w:p>
        </w:tc>
        <w:tc>
          <w:tcPr>
            <w:tcW w:type="dxa" w:w="5360"/>
            <w:tcMar>
              <w:top w:type="dxa" w:w="60"/>
              <w:left w:type="dxa" w:w="100"/>
              <w:bottom w:type="dxa" w:w="60"/>
              <w:right w:type="dxa" w:w="100"/>
            </w:tcMar>
          </w:tcPr>
          <w:p>
            <w:r>
              <w:rPr>
                <w:sz w:val="20"/>
                <w:szCs w:val="20"/>
              </w:rPr>
              <w:t xml:space="preserve">Composición: la venta agrega líneas de detalle y calcula su total.</w:t>
            </w:r>
          </w:p>
        </w:tc>
      </w:tr>
      <w:tr>
        <w:tc>
          <w:tcPr>
            <w:tcW w:type="dxa" w:w="2100"/>
            <w:tcMar>
              <w:top w:type="dxa" w:w="60"/>
              <w:left w:type="dxa" w:w="100"/>
              <w:bottom w:type="dxa" w:w="60"/>
              <w:right w:type="dxa" w:w="100"/>
            </w:tcMar>
          </w:tcPr>
          <w:p>
            <w:r>
              <w:rPr>
                <w:sz w:val="20"/>
                <w:szCs w:val="20"/>
              </w:rPr>
              <w:t xml:space="preserve">SistemaCore</w:t>
            </w:r>
          </w:p>
        </w:tc>
        <w:tc>
          <w:tcPr>
            <w:tcW w:type="dxa" w:w="1900"/>
            <w:tcMar>
              <w:top w:type="dxa" w:w="60"/>
              <w:left w:type="dxa" w:w="100"/>
              <w:bottom w:type="dxa" w:w="60"/>
              <w:right w:type="dxa" w:w="100"/>
            </w:tcMar>
          </w:tcPr>
          <w:p>
            <w:r>
              <w:rPr>
                <w:sz w:val="20"/>
                <w:szCs w:val="20"/>
              </w:rPr>
              <w:t xml:space="preserve">core/sistema_core.py</w:t>
            </w:r>
          </w:p>
        </w:tc>
        <w:tc>
          <w:tcPr>
            <w:tcW w:type="dxa" w:w="5360"/>
            <w:tcMar>
              <w:top w:type="dxa" w:w="60"/>
              <w:left w:type="dxa" w:w="100"/>
              <w:bottom w:type="dxa" w:w="60"/>
              <w:right w:type="dxa" w:w="100"/>
            </w:tcMar>
          </w:tcPr>
          <w:p>
            <w:r>
              <w:rPr>
                <w:sz w:val="20"/>
                <w:szCs w:val="20"/>
              </w:rPr>
              <w:t xml:space="preserve">Fachada del sistema principal: clientes, catálogo y registro de ventas. Publica los eventos de integración.</w:t>
            </w:r>
          </w:p>
        </w:tc>
      </w:tr>
      <w:tr>
        <w:tc>
          <w:tcPr>
            <w:tcW w:type="dxa" w:w="2100"/>
            <w:tcMar>
              <w:top w:type="dxa" w:w="60"/>
              <w:left w:type="dxa" w:w="100"/>
              <w:bottom w:type="dxa" w:w="60"/>
              <w:right w:type="dxa" w:w="100"/>
            </w:tcMar>
          </w:tcPr>
          <w:p>
            <w:r>
              <w:rPr>
                <w:sz w:val="20"/>
                <w:szCs w:val="20"/>
              </w:rPr>
              <w:t xml:space="preserve">BusDeEventos</w:t>
            </w:r>
          </w:p>
        </w:tc>
        <w:tc>
          <w:tcPr>
            <w:tcW w:type="dxa" w:w="1900"/>
            <w:tcMar>
              <w:top w:type="dxa" w:w="60"/>
              <w:left w:type="dxa" w:w="100"/>
              <w:bottom w:type="dxa" w:w="60"/>
              <w:right w:type="dxa" w:w="100"/>
            </w:tcMar>
          </w:tcPr>
          <w:p>
            <w:r>
              <w:rPr>
                <w:sz w:val="20"/>
                <w:szCs w:val="20"/>
              </w:rPr>
              <w:t xml:space="preserve">events.py</w:t>
            </w:r>
          </w:p>
        </w:tc>
        <w:tc>
          <w:tcPr>
            <w:tcW w:type="dxa" w:w="5360"/>
            <w:tcMar>
              <w:top w:type="dxa" w:w="60"/>
              <w:left w:type="dxa" w:w="100"/>
              <w:bottom w:type="dxa" w:w="60"/>
              <w:right w:type="dxa" w:w="100"/>
            </w:tcMar>
          </w:tcPr>
          <w:p>
            <w:r>
              <w:rPr>
                <w:sz w:val="20"/>
                <w:szCs w:val="20"/>
              </w:rPr>
              <w:t xml:space="preserve">Implementa el patrón Observador: suscribir() y publicar(). Mantiene una bitácora como evidencia de integración.</w:t>
            </w:r>
          </w:p>
        </w:tc>
      </w:tr>
      <w:tr>
        <w:tc>
          <w:tcPr>
            <w:tcW w:type="dxa" w:w="2100"/>
            <w:tcMar>
              <w:top w:type="dxa" w:w="60"/>
              <w:left w:type="dxa" w:w="100"/>
              <w:bottom w:type="dxa" w:w="60"/>
              <w:right w:type="dxa" w:w="100"/>
            </w:tcMar>
          </w:tcPr>
          <w:p>
            <w:r>
              <w:rPr>
                <w:sz w:val="20"/>
                <w:szCs w:val="20"/>
              </w:rPr>
              <w:t xml:space="preserve">ModuloERP</w:t>
            </w:r>
          </w:p>
        </w:tc>
        <w:tc>
          <w:tcPr>
            <w:tcW w:type="dxa" w:w="1900"/>
            <w:tcMar>
              <w:top w:type="dxa" w:w="60"/>
              <w:left w:type="dxa" w:w="100"/>
              <w:bottom w:type="dxa" w:w="60"/>
              <w:right w:type="dxa" w:w="100"/>
            </w:tcMar>
          </w:tcPr>
          <w:p>
            <w:r>
              <w:rPr>
                <w:sz w:val="20"/>
                <w:szCs w:val="20"/>
              </w:rPr>
              <w:t xml:space="preserve">modules/erp.py</w:t>
            </w:r>
          </w:p>
        </w:tc>
        <w:tc>
          <w:tcPr>
            <w:tcW w:type="dxa" w:w="5360"/>
            <w:tcMar>
              <w:top w:type="dxa" w:w="60"/>
              <w:left w:type="dxa" w:w="100"/>
              <w:bottom w:type="dxa" w:w="60"/>
              <w:right w:type="dxa" w:w="100"/>
            </w:tcMar>
          </w:tcPr>
          <w:p>
            <w:r>
              <w:rPr>
                <w:sz w:val="20"/>
                <w:szCs w:val="20"/>
              </w:rPr>
              <w:t xml:space="preserve">Suscrito a venta_registrada y orden_generada: crea asientos por partida doble y calcula el estado de caja.</w:t>
            </w:r>
          </w:p>
        </w:tc>
      </w:tr>
      <w:tr>
        <w:tc>
          <w:tcPr>
            <w:tcW w:type="dxa" w:w="2100"/>
            <w:tcMar>
              <w:top w:type="dxa" w:w="60"/>
              <w:left w:type="dxa" w:w="100"/>
              <w:bottom w:type="dxa" w:w="60"/>
              <w:right w:type="dxa" w:w="100"/>
            </w:tcMar>
          </w:tcPr>
          <w:p>
            <w:r>
              <w:rPr>
                <w:sz w:val="20"/>
                <w:szCs w:val="20"/>
              </w:rPr>
              <w:t xml:space="preserve">ModuloSCM</w:t>
            </w:r>
          </w:p>
        </w:tc>
        <w:tc>
          <w:tcPr>
            <w:tcW w:type="dxa" w:w="1900"/>
            <w:tcMar>
              <w:top w:type="dxa" w:w="60"/>
              <w:left w:type="dxa" w:w="100"/>
              <w:bottom w:type="dxa" w:w="60"/>
              <w:right w:type="dxa" w:w="100"/>
            </w:tcMar>
          </w:tcPr>
          <w:p>
            <w:r>
              <w:rPr>
                <w:sz w:val="20"/>
                <w:szCs w:val="20"/>
              </w:rPr>
              <w:t xml:space="preserve">modules/scm.py</w:t>
            </w:r>
          </w:p>
        </w:tc>
        <w:tc>
          <w:tcPr>
            <w:tcW w:type="dxa" w:w="5360"/>
            <w:tcMar>
              <w:top w:type="dxa" w:w="60"/>
              <w:left w:type="dxa" w:w="100"/>
              <w:bottom w:type="dxa" w:w="60"/>
              <w:right w:type="dxa" w:w="100"/>
            </w:tcMar>
          </w:tcPr>
          <w:p>
            <w:r>
              <w:rPr>
                <w:sz w:val="20"/>
                <w:szCs w:val="20"/>
              </w:rPr>
              <w:t xml:space="preserve">Suscrito a stock_bajo: genera la orden de compra al proveedor (evitando duplicados) y publica orden_generada.</w:t>
            </w:r>
          </w:p>
        </w:tc>
      </w:tr>
      <w:tr>
        <w:tc>
          <w:tcPr>
            <w:tcW w:type="dxa" w:w="2100"/>
            <w:tcMar>
              <w:top w:type="dxa" w:w="60"/>
              <w:left w:type="dxa" w:w="100"/>
              <w:bottom w:type="dxa" w:w="60"/>
              <w:right w:type="dxa" w:w="100"/>
            </w:tcMar>
          </w:tcPr>
          <w:p>
            <w:r>
              <w:rPr>
                <w:sz w:val="20"/>
                <w:szCs w:val="20"/>
              </w:rPr>
              <w:t xml:space="preserve">ModuloCRM</w:t>
            </w:r>
          </w:p>
        </w:tc>
        <w:tc>
          <w:tcPr>
            <w:tcW w:type="dxa" w:w="1900"/>
            <w:tcMar>
              <w:top w:type="dxa" w:w="60"/>
              <w:left w:type="dxa" w:w="100"/>
              <w:bottom w:type="dxa" w:w="60"/>
              <w:right w:type="dxa" w:w="100"/>
            </w:tcMar>
          </w:tcPr>
          <w:p>
            <w:r>
              <w:rPr>
                <w:sz w:val="20"/>
                <w:szCs w:val="20"/>
              </w:rPr>
              <w:t xml:space="preserve">modules/crm.py</w:t>
            </w:r>
          </w:p>
        </w:tc>
        <w:tc>
          <w:tcPr>
            <w:tcW w:type="dxa" w:w="5360"/>
            <w:tcMar>
              <w:top w:type="dxa" w:w="60"/>
              <w:left w:type="dxa" w:w="100"/>
              <w:bottom w:type="dxa" w:w="60"/>
              <w:right w:type="dxa" w:w="100"/>
            </w:tcMar>
          </w:tcPr>
          <w:p>
            <w:r>
              <w:rPr>
                <w:sz w:val="20"/>
                <w:szCs w:val="20"/>
              </w:rPr>
              <w:t xml:space="preserve">Consulta automatizada de inactividad (&gt; 30 días) que genera alertas de deserción; suscrito a venta_registrada para cerrar alertas de socios recuperados.</w:t>
            </w:r>
          </w:p>
        </w:tc>
      </w:tr>
    </w:tbl>
    <w:p>
      <w:pPr>
        <w:spacing w:after="120" w:line="276"/>
        <w:jc w:val="both"/>
      </w:pPr>
      <w:r>
        <w:rPr>
          <w:sz w:val="22"/>
          <w:szCs w:val="22"/>
        </w:rPr>
        <w:t xml:space="preserve"/>
      </w:r>
    </w:p>
    <w:p>
      <w:pPr>
        <w:spacing w:after="120" w:line="276"/>
        <w:jc w:val="both"/>
      </w:pPr>
      <w:r>
        <w:rPr>
          <w:sz w:val="22"/>
          <w:szCs w:val="22"/>
        </w:rPr>
        <w:t xml:space="preserve">Los cuatro pilares de la POO están presentes: encapsulamiento (el stock solo se modifica mediante métodos), herencia (Membresia y ClaseDirigida extienden Producto), polimorfismo (es_servicio() decide en tiempo de ejecución si corresponde descontar inventario) y composición (Venta contiene DetalleVenta).</w:t>
      </w:r>
    </w:p>
    <w:p>
      <w:pPr>
        <w:pStyle w:val="Heading2"/>
        <w:spacing w:after="120" w:before="240"/>
      </w:pPr>
      <w:r>
        <w:rPr>
          <w:color w:val="333333"/>
        </w:rPr>
        <w:t xml:space="preserve">3.2 Flujo de integración entre sistemas</w:t>
      </w:r>
    </w:p>
    <w:p>
      <w:pPr>
        <w:spacing w:after="40" w:before="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71825"/>
                    </a:xfrm>
                    <a:prstGeom prst="rect">
                      <a:avLst/>
                    </a:prstGeom>
                  </pic:spPr>
                </pic:pic>
              </a:graphicData>
            </a:graphic>
          </wp:inline>
        </w:drawing>
      </w:r>
    </w:p>
    <w:p>
      <w:pPr>
        <w:spacing w:after="200"/>
        <w:jc w:val="center"/>
      </w:pPr>
      <w:r>
        <w:rPr>
          <w:i/>
          <w:iCs/>
          <w:color w:val="666666"/>
          <w:sz w:val="18"/>
          <w:szCs w:val="18"/>
        </w:rPr>
        <w:t xml:space="preserve">Figura 5. Bus de eventos: el Core publica; ERP, SCM y CRM reaccionan sin intervención humana.</w:t>
      </w:r>
    </w:p>
    <w:p>
      <w:pPr>
        <w:spacing w:after="120" w:line="276"/>
        <w:jc w:val="both"/>
      </w:pPr>
      <w:r>
        <w:rPr>
          <w:sz w:val="22"/>
          <w:szCs w:val="22"/>
        </w:rPr>
        <w:t xml:space="preserve">La cadena completa que se demuestra en vivo es la siguiente: al registrar una venta, el Core publica “venta_registrada”; el ERP reacciona creando el asiento contable (DEBE Caja / HABER Ingresos) y el CRM verifica si el socio tenía una alerta activa para cerrarla. Si además la venta dejó algún producto en o bajo su stock mínimo, el Core publica “stock_bajo”; el SCM reacciona generando la orden de compra al proveedor y publica a su vez “orden_generada”, con la que el ERP registra el gasto (DEBE Inventario / HABER Caja). Tres sistemas se actualizan en cascada a partir de una única acción del usuario.</w:t>
      </w:r>
    </w:p>
    <w:p>
      <w:pPr>
        <w:pStyle w:val="Heading2"/>
        <w:spacing w:after="120" w:before="240"/>
      </w:pPr>
      <w:r>
        <w:rPr>
          <w:color w:val="333333"/>
        </w:rPr>
        <w:t xml:space="preserve">3.3 Evidencia de funcionamiento</w:t>
      </w:r>
    </w:p>
    <w:p>
      <w:pPr>
        <w:spacing w:after="120" w:line="276"/>
        <w:jc w:val="both"/>
      </w:pPr>
      <w:r>
        <w:rPr>
          <w:sz w:val="22"/>
          <w:szCs w:val="22"/>
        </w:rPr>
        <w:t xml:space="preserve">Captura de la venta en vivo y la reacción en cascada de los módulos (salida real del sistema):</w:t>
      </w:r>
    </w:p>
    <w:p>
      <w:pPr>
        <w:spacing w:after="40" w:before="120"/>
        <w:jc w:val="center"/>
      </w:pPr>
      <w:r>
        <w:drawing>
          <wp:inline distT="0" distB="0" distL="0" distR="0">
            <wp:extent cx="5905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76500"/>
                    </a:xfrm>
                    <a:prstGeom prst="rect">
                      <a:avLst/>
                    </a:prstGeom>
                  </pic:spPr>
                </pic:pic>
              </a:graphicData>
            </a:graphic>
          </wp:inline>
        </w:drawing>
      </w:r>
    </w:p>
    <w:p>
      <w:pPr>
        <w:spacing w:after="200"/>
        <w:jc w:val="center"/>
      </w:pPr>
      <w:r>
        <w:rPr>
          <w:i/>
          <w:iCs/>
          <w:color w:val="666666"/>
          <w:sz w:val="18"/>
          <w:szCs w:val="18"/>
        </w:rPr>
        <w:t xml:space="preserve">Figura 6. Una venta dispara ERP (asiento), SCM (orden de compra) y nuevamente ERP (gasto).</w:t>
      </w:r>
    </w:p>
    <w:p>
      <w:pPr>
        <w:spacing w:after="120" w:line="276"/>
        <w:jc w:val="both"/>
      </w:pPr>
      <w:r>
        <w:rPr>
          <w:sz w:val="22"/>
          <w:szCs w:val="22"/>
        </w:rPr>
        <w:t xml:space="preserve">Captura del análisis automatizado del CRM sobre la base real de socios:</w:t>
      </w:r>
    </w:p>
    <w:p>
      <w:pPr>
        <w:spacing w:after="40" w:before="120"/>
        <w:jc w:val="center"/>
      </w:pPr>
      <w:r>
        <w:drawing>
          <wp:inline distT="0" distB="0" distL="0" distR="0">
            <wp:extent cx="59055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524000"/>
                    </a:xfrm>
                    <a:prstGeom prst="rect">
                      <a:avLst/>
                    </a:prstGeom>
                  </pic:spPr>
                </pic:pic>
              </a:graphicData>
            </a:graphic>
          </wp:inline>
        </w:drawing>
      </w:r>
    </w:p>
    <w:p>
      <w:pPr>
        <w:spacing w:after="200"/>
        <w:jc w:val="center"/>
      </w:pPr>
      <w:r>
        <w:rPr>
          <w:i/>
          <w:iCs/>
          <w:color w:val="666666"/>
          <w:sz w:val="18"/>
          <w:szCs w:val="18"/>
        </w:rPr>
        <w:t xml:space="preserve">Figura 7. El CRM aísla a los socios inactivos y dispara las alertas de riesgo de deserción.</w:t>
      </w:r>
    </w:p>
    <w:p>
      <w:r>
        <w:br w:type="page"/>
      </w:r>
    </w:p>
    <w:p>
      <w:pPr>
        <w:pStyle w:val="Heading1"/>
        <w:spacing w:after="160" w:before="320"/>
      </w:pPr>
      <w:r>
        <w:rPr>
          <w:color w:val="2E86AB"/>
        </w:rPr>
        <w:t xml:space="preserve">4. Reporte de Inteligencia de Negocios</w:t>
      </w:r>
    </w:p>
    <w:p>
      <w:pPr>
        <w:pStyle w:val="Heading2"/>
        <w:spacing w:after="120" w:before="240"/>
      </w:pPr>
      <w:r>
        <w:rPr>
          <w:color w:val="333333"/>
        </w:rPr>
        <w:t xml:space="preserve">4.1 Resultados de la segmentación RFM</w:t>
      </w:r>
    </w:p>
    <w:p>
      <w:pPr>
        <w:spacing w:after="120" w:line="276"/>
        <w:jc w:val="both"/>
      </w:pPr>
      <w:r>
        <w:rPr>
          <w:sz w:val="22"/>
          <w:szCs w:val="22"/>
        </w:rPr>
        <w:t xml:space="preserve">El algoritmo RFM se ejecutó sobre las 2.961 transacciones históricas de los 350 socios. Cada dimensión (Recencia, Frecuencia, Monetario) se puntuó de 1 a 5 por quintiles y la combinación de puntajes asignó la etiqueta estratégica:</w:t>
      </w:r>
    </w:p>
    <w:p>
      <w:pPr>
        <w:spacing w:after="40" w:before="12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05000"/>
                    </a:xfrm>
                    <a:prstGeom prst="rect">
                      <a:avLst/>
                    </a:prstGeom>
                  </pic:spPr>
                </pic:pic>
              </a:graphicData>
            </a:graphic>
          </wp:inline>
        </w:drawing>
      </w:r>
    </w:p>
    <w:p>
      <w:pPr>
        <w:spacing w:after="200"/>
        <w:jc w:val="center"/>
      </w:pPr>
      <w:r>
        <w:rPr>
          <w:i/>
          <w:iCs/>
          <w:color w:val="666666"/>
          <w:sz w:val="18"/>
          <w:szCs w:val="18"/>
        </w:rPr>
        <w:t xml:space="preserve">Figura 8. Salida real del cálculo RFM sobre la base de socios.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800"/>
        <w:gridCol w:w="800"/>
        <w:gridCol w:w="1300"/>
        <w:gridCol w:w="4710"/>
      </w:tblGrid>
      <w:tr>
        <w:tc>
          <w:tcPr>
            <w:tcW w:type="dxa" w:w="1750"/>
            <w:shd w:fill="2E86AB" w:val="clear"/>
            <w:tcMar>
              <w:top w:type="dxa" w:w="60"/>
              <w:left w:type="dxa" w:w="100"/>
              <w:bottom w:type="dxa" w:w="60"/>
              <w:right w:type="dxa" w:w="100"/>
            </w:tcMar>
          </w:tcPr>
          <w:p>
            <w:r>
              <w:rPr>
                <w:b/>
                <w:bCs/>
                <w:color w:val="FFFFFF"/>
                <w:sz w:val="20"/>
                <w:szCs w:val="20"/>
              </w:rPr>
              <w:t xml:space="preserve">Segmento</w:t>
            </w:r>
          </w:p>
        </w:tc>
        <w:tc>
          <w:tcPr>
            <w:tcW w:type="dxa" w:w="800"/>
            <w:shd w:fill="2E86AB" w:val="clear"/>
            <w:tcMar>
              <w:top w:type="dxa" w:w="60"/>
              <w:left w:type="dxa" w:w="100"/>
              <w:bottom w:type="dxa" w:w="60"/>
              <w:right w:type="dxa" w:w="100"/>
            </w:tcMar>
          </w:tcPr>
          <w:p>
            <w:r>
              <w:rPr>
                <w:b/>
                <w:bCs/>
                <w:color w:val="FFFFFF"/>
                <w:sz w:val="20"/>
                <w:szCs w:val="20"/>
              </w:rPr>
              <w:t xml:space="preserve">Socios</w:t>
            </w:r>
          </w:p>
        </w:tc>
        <w:tc>
          <w:tcPr>
            <w:tcW w:type="dxa" w:w="800"/>
            <w:shd w:fill="2E86AB" w:val="clear"/>
            <w:tcMar>
              <w:top w:type="dxa" w:w="60"/>
              <w:left w:type="dxa" w:w="100"/>
              <w:bottom w:type="dxa" w:w="60"/>
              <w:right w:type="dxa" w:w="100"/>
            </w:tcMar>
          </w:tcPr>
          <w:p>
            <w:r>
              <w:rPr>
                <w:b/>
                <w:bCs/>
                <w:color w:val="FFFFFF"/>
                <w:sz w:val="20"/>
                <w:szCs w:val="20"/>
              </w:rPr>
              <w:t xml:space="preserve">% base</w:t>
            </w:r>
          </w:p>
        </w:tc>
        <w:tc>
          <w:tcPr>
            <w:tcW w:type="dxa" w:w="1300"/>
            <w:shd w:fill="2E86AB" w:val="clear"/>
            <w:tcMar>
              <w:top w:type="dxa" w:w="60"/>
              <w:left w:type="dxa" w:w="100"/>
              <w:bottom w:type="dxa" w:w="60"/>
              <w:right w:type="dxa" w:w="100"/>
            </w:tcMar>
          </w:tcPr>
          <w:p>
            <w:r>
              <w:rPr>
                <w:b/>
                <w:bCs/>
                <w:color w:val="FFFFFF"/>
                <w:sz w:val="20"/>
                <w:szCs w:val="20"/>
              </w:rPr>
              <w:t xml:space="preserve">Gasto prom. (USD)</w:t>
            </w:r>
          </w:p>
        </w:tc>
        <w:tc>
          <w:tcPr>
            <w:tcW w:type="dxa" w:w="4710"/>
            <w:shd w:fill="2E86AB" w:val="clear"/>
            <w:tcMar>
              <w:top w:type="dxa" w:w="60"/>
              <w:left w:type="dxa" w:w="100"/>
              <w:bottom w:type="dxa" w:w="60"/>
              <w:right w:type="dxa" w:w="100"/>
            </w:tcMar>
          </w:tcPr>
          <w:p>
            <w:r>
              <w:rPr>
                <w:b/>
                <w:bCs/>
                <w:color w:val="FFFFFF"/>
                <w:sz w:val="20"/>
                <w:szCs w:val="20"/>
              </w:rPr>
              <w:t xml:space="preserve">Acción estratégica recomendada</w:t>
            </w:r>
          </w:p>
        </w:tc>
      </w:tr>
      <w:tr>
        <w:tc>
          <w:tcPr>
            <w:tcW w:type="dxa" w:w="1750"/>
            <w:tcMar>
              <w:top w:type="dxa" w:w="60"/>
              <w:left w:type="dxa" w:w="100"/>
              <w:bottom w:type="dxa" w:w="60"/>
              <w:right w:type="dxa" w:w="100"/>
            </w:tcMar>
          </w:tcPr>
          <w:p>
            <w:r>
              <w:rPr>
                <w:sz w:val="20"/>
                <w:szCs w:val="20"/>
              </w:rPr>
              <w:t xml:space="preserve">Perdido</w:t>
            </w:r>
          </w:p>
        </w:tc>
        <w:tc>
          <w:tcPr>
            <w:tcW w:type="dxa" w:w="800"/>
            <w:tcMar>
              <w:top w:type="dxa" w:w="60"/>
              <w:left w:type="dxa" w:w="100"/>
              <w:bottom w:type="dxa" w:w="60"/>
              <w:right w:type="dxa" w:w="100"/>
            </w:tcMar>
          </w:tcPr>
          <w:p>
            <w:r>
              <w:rPr>
                <w:sz w:val="20"/>
                <w:szCs w:val="20"/>
              </w:rPr>
              <w:t xml:space="preserve">77</w:t>
            </w:r>
          </w:p>
        </w:tc>
        <w:tc>
          <w:tcPr>
            <w:tcW w:type="dxa" w:w="800"/>
            <w:tcMar>
              <w:top w:type="dxa" w:w="60"/>
              <w:left w:type="dxa" w:w="100"/>
              <w:bottom w:type="dxa" w:w="60"/>
              <w:right w:type="dxa" w:w="100"/>
            </w:tcMar>
          </w:tcPr>
          <w:p>
            <w:r>
              <w:rPr>
                <w:sz w:val="20"/>
                <w:szCs w:val="20"/>
              </w:rPr>
              <w:t xml:space="preserve">22,0 %</w:t>
            </w:r>
          </w:p>
        </w:tc>
        <w:tc>
          <w:tcPr>
            <w:tcW w:type="dxa" w:w="1300"/>
            <w:tcMar>
              <w:top w:type="dxa" w:w="60"/>
              <w:left w:type="dxa" w:w="100"/>
              <w:bottom w:type="dxa" w:w="60"/>
              <w:right w:type="dxa" w:w="100"/>
            </w:tcMar>
          </w:tcPr>
          <w:p>
            <w:r>
              <w:rPr>
                <w:sz w:val="20"/>
                <w:szCs w:val="20"/>
              </w:rPr>
              <w:t xml:space="preserve">106,58</w:t>
            </w:r>
          </w:p>
        </w:tc>
        <w:tc>
          <w:tcPr>
            <w:tcW w:type="dxa" w:w="4710"/>
            <w:tcMar>
              <w:top w:type="dxa" w:w="60"/>
              <w:left w:type="dxa" w:w="100"/>
              <w:bottom w:type="dxa" w:w="60"/>
              <w:right w:type="dxa" w:w="100"/>
            </w:tcMar>
          </w:tcPr>
          <w:p>
            <w:r>
              <w:rPr>
                <w:sz w:val="20"/>
                <w:szCs w:val="20"/>
              </w:rPr>
              <w:t xml:space="preserve">Inactivos y de bajo valor histórico: no invertir en recuperación masiva; solo campañas de bajo costo (correo).</w:t>
            </w:r>
          </w:p>
        </w:tc>
      </w:tr>
      <w:tr>
        <w:tc>
          <w:tcPr>
            <w:tcW w:type="dxa" w:w="1750"/>
            <w:tcMar>
              <w:top w:type="dxa" w:w="60"/>
              <w:left w:type="dxa" w:w="100"/>
              <w:bottom w:type="dxa" w:w="60"/>
              <w:right w:type="dxa" w:w="100"/>
            </w:tcMar>
          </w:tcPr>
          <w:p>
            <w:r>
              <w:rPr>
                <w:sz w:val="20"/>
                <w:szCs w:val="20"/>
              </w:rPr>
              <w:t xml:space="preserve">Necesita Atención</w:t>
            </w:r>
          </w:p>
        </w:tc>
        <w:tc>
          <w:tcPr>
            <w:tcW w:type="dxa" w:w="800"/>
            <w:tcMar>
              <w:top w:type="dxa" w:w="60"/>
              <w:left w:type="dxa" w:w="100"/>
              <w:bottom w:type="dxa" w:w="60"/>
              <w:right w:type="dxa" w:w="100"/>
            </w:tcMar>
          </w:tcPr>
          <w:p>
            <w:r>
              <w:rPr>
                <w:sz w:val="20"/>
                <w:szCs w:val="20"/>
              </w:rPr>
              <w:t xml:space="preserve">67</w:t>
            </w:r>
          </w:p>
        </w:tc>
        <w:tc>
          <w:tcPr>
            <w:tcW w:type="dxa" w:w="800"/>
            <w:tcMar>
              <w:top w:type="dxa" w:w="60"/>
              <w:left w:type="dxa" w:w="100"/>
              <w:bottom w:type="dxa" w:w="60"/>
              <w:right w:type="dxa" w:w="100"/>
            </w:tcMar>
          </w:tcPr>
          <w:p>
            <w:r>
              <w:rPr>
                <w:sz w:val="20"/>
                <w:szCs w:val="20"/>
              </w:rPr>
              <w:t xml:space="preserve">19,1 %</w:t>
            </w:r>
          </w:p>
        </w:tc>
        <w:tc>
          <w:tcPr>
            <w:tcW w:type="dxa" w:w="1300"/>
            <w:tcMar>
              <w:top w:type="dxa" w:w="60"/>
              <w:left w:type="dxa" w:w="100"/>
              <w:bottom w:type="dxa" w:w="60"/>
              <w:right w:type="dxa" w:w="100"/>
            </w:tcMar>
          </w:tcPr>
          <w:p>
            <w:r>
              <w:rPr>
                <w:sz w:val="20"/>
                <w:szCs w:val="20"/>
              </w:rPr>
              <w:t xml:space="preserve">404,75</w:t>
            </w:r>
          </w:p>
        </w:tc>
        <w:tc>
          <w:tcPr>
            <w:tcW w:type="dxa" w:w="4710"/>
            <w:tcMar>
              <w:top w:type="dxa" w:w="60"/>
              <w:left w:type="dxa" w:w="100"/>
              <w:bottom w:type="dxa" w:w="60"/>
              <w:right w:type="dxa" w:w="100"/>
            </w:tcMar>
          </w:tcPr>
          <w:p>
            <w:r>
              <w:rPr>
                <w:sz w:val="20"/>
                <w:szCs w:val="20"/>
              </w:rPr>
              <w:t xml:space="preserve">Se están enfriando: recordatorios de clases y beneficios antes de que crucen el umbral de deserción.</w:t>
            </w:r>
          </w:p>
        </w:tc>
      </w:tr>
      <w:tr>
        <w:tc>
          <w:tcPr>
            <w:tcW w:type="dxa" w:w="1750"/>
            <w:tcMar>
              <w:top w:type="dxa" w:w="60"/>
              <w:left w:type="dxa" w:w="100"/>
              <w:bottom w:type="dxa" w:w="60"/>
              <w:right w:type="dxa" w:w="100"/>
            </w:tcMar>
          </w:tcPr>
          <w:p>
            <w:r>
              <w:rPr>
                <w:sz w:val="20"/>
                <w:szCs w:val="20"/>
              </w:rPr>
              <w:t xml:space="preserve">Recuperable</w:t>
            </w:r>
          </w:p>
        </w:tc>
        <w:tc>
          <w:tcPr>
            <w:tcW w:type="dxa" w:w="800"/>
            <w:tcMar>
              <w:top w:type="dxa" w:w="60"/>
              <w:left w:type="dxa" w:w="100"/>
              <w:bottom w:type="dxa" w:w="60"/>
              <w:right w:type="dxa" w:w="100"/>
            </w:tcMar>
          </w:tcPr>
          <w:p>
            <w:r>
              <w:rPr>
                <w:sz w:val="20"/>
                <w:szCs w:val="20"/>
              </w:rPr>
              <w:t xml:space="preserve">63</w:t>
            </w:r>
          </w:p>
        </w:tc>
        <w:tc>
          <w:tcPr>
            <w:tcW w:type="dxa" w:w="800"/>
            <w:tcMar>
              <w:top w:type="dxa" w:w="60"/>
              <w:left w:type="dxa" w:w="100"/>
              <w:bottom w:type="dxa" w:w="60"/>
              <w:right w:type="dxa" w:w="100"/>
            </w:tcMar>
          </w:tcPr>
          <w:p>
            <w:r>
              <w:rPr>
                <w:sz w:val="20"/>
                <w:szCs w:val="20"/>
              </w:rPr>
              <w:t xml:space="preserve">18,0 %</w:t>
            </w:r>
          </w:p>
        </w:tc>
        <w:tc>
          <w:tcPr>
            <w:tcW w:type="dxa" w:w="1300"/>
            <w:tcMar>
              <w:top w:type="dxa" w:w="60"/>
              <w:left w:type="dxa" w:w="100"/>
              <w:bottom w:type="dxa" w:w="60"/>
              <w:right w:type="dxa" w:w="100"/>
            </w:tcMar>
          </w:tcPr>
          <w:p>
            <w:r>
              <w:rPr>
                <w:sz w:val="20"/>
                <w:szCs w:val="20"/>
              </w:rPr>
              <w:t xml:space="preserve">387,05</w:t>
            </w:r>
          </w:p>
        </w:tc>
        <w:tc>
          <w:tcPr>
            <w:tcW w:type="dxa" w:w="4710"/>
            <w:tcMar>
              <w:top w:type="dxa" w:w="60"/>
              <w:left w:type="dxa" w:w="100"/>
              <w:bottom w:type="dxa" w:w="60"/>
              <w:right w:type="dxa" w:w="100"/>
            </w:tcMar>
          </w:tcPr>
          <w:p>
            <w:r>
              <w:rPr>
                <w:sz w:val="20"/>
                <w:szCs w:val="20"/>
              </w:rPr>
              <w:t xml:space="preserve">Fueron buenos clientes y se alejaron: campaña dirigida con promoción de reactivación (prioridad del CRM).</w:t>
            </w:r>
          </w:p>
        </w:tc>
      </w:tr>
      <w:tr>
        <w:tc>
          <w:tcPr>
            <w:tcW w:type="dxa" w:w="1750"/>
            <w:tcMar>
              <w:top w:type="dxa" w:w="60"/>
              <w:left w:type="dxa" w:w="100"/>
              <w:bottom w:type="dxa" w:w="60"/>
              <w:right w:type="dxa" w:w="100"/>
            </w:tcMar>
          </w:tcPr>
          <w:p>
            <w:r>
              <w:rPr>
                <w:sz w:val="20"/>
                <w:szCs w:val="20"/>
              </w:rPr>
              <w:t xml:space="preserve">VIP</w:t>
            </w:r>
          </w:p>
        </w:tc>
        <w:tc>
          <w:tcPr>
            <w:tcW w:type="dxa" w:w="800"/>
            <w:tcMar>
              <w:top w:type="dxa" w:w="60"/>
              <w:left w:type="dxa" w:w="100"/>
              <w:bottom w:type="dxa" w:w="60"/>
              <w:right w:type="dxa" w:w="100"/>
            </w:tcMar>
          </w:tcPr>
          <w:p>
            <w:r>
              <w:rPr>
                <w:sz w:val="20"/>
                <w:szCs w:val="20"/>
              </w:rPr>
              <w:t xml:space="preserve">57</w:t>
            </w:r>
          </w:p>
        </w:tc>
        <w:tc>
          <w:tcPr>
            <w:tcW w:type="dxa" w:w="800"/>
            <w:tcMar>
              <w:top w:type="dxa" w:w="60"/>
              <w:left w:type="dxa" w:w="100"/>
              <w:bottom w:type="dxa" w:w="60"/>
              <w:right w:type="dxa" w:w="100"/>
            </w:tcMar>
          </w:tcPr>
          <w:p>
            <w:r>
              <w:rPr>
                <w:sz w:val="20"/>
                <w:szCs w:val="20"/>
              </w:rPr>
              <w:t xml:space="preserve">16,3 %</w:t>
            </w:r>
          </w:p>
        </w:tc>
        <w:tc>
          <w:tcPr>
            <w:tcW w:type="dxa" w:w="1300"/>
            <w:tcMar>
              <w:top w:type="dxa" w:w="60"/>
              <w:left w:type="dxa" w:w="100"/>
              <w:bottom w:type="dxa" w:w="60"/>
              <w:right w:type="dxa" w:w="100"/>
            </w:tcMar>
          </w:tcPr>
          <w:p>
            <w:r>
              <w:rPr>
                <w:sz w:val="20"/>
                <w:szCs w:val="20"/>
              </w:rPr>
              <w:t xml:space="preserve">831,69</w:t>
            </w:r>
          </w:p>
        </w:tc>
        <w:tc>
          <w:tcPr>
            <w:tcW w:type="dxa" w:w="4710"/>
            <w:tcMar>
              <w:top w:type="dxa" w:w="60"/>
              <w:left w:type="dxa" w:w="100"/>
              <w:bottom w:type="dxa" w:w="60"/>
              <w:right w:type="dxa" w:w="100"/>
            </w:tcMar>
          </w:tcPr>
          <w:p>
            <w:r>
              <w:rPr>
                <w:sz w:val="20"/>
                <w:szCs w:val="20"/>
              </w:rPr>
              <w:t xml:space="preserve">Máximo valor: trato preferencial, acceso anticipado a clases, programa de referidos.</w:t>
            </w:r>
          </w:p>
        </w:tc>
      </w:tr>
      <w:tr>
        <w:tc>
          <w:tcPr>
            <w:tcW w:type="dxa" w:w="1750"/>
            <w:tcMar>
              <w:top w:type="dxa" w:w="60"/>
              <w:left w:type="dxa" w:w="100"/>
              <w:bottom w:type="dxa" w:w="60"/>
              <w:right w:type="dxa" w:w="100"/>
            </w:tcMar>
          </w:tcPr>
          <w:p>
            <w:r>
              <w:rPr>
                <w:sz w:val="20"/>
                <w:szCs w:val="20"/>
              </w:rPr>
              <w:t xml:space="preserve">Leal</w:t>
            </w:r>
          </w:p>
        </w:tc>
        <w:tc>
          <w:tcPr>
            <w:tcW w:type="dxa" w:w="800"/>
            <w:tcMar>
              <w:top w:type="dxa" w:w="60"/>
              <w:left w:type="dxa" w:w="100"/>
              <w:bottom w:type="dxa" w:w="60"/>
              <w:right w:type="dxa" w:w="100"/>
            </w:tcMar>
          </w:tcPr>
          <w:p>
            <w:r>
              <w:rPr>
                <w:sz w:val="20"/>
                <w:szCs w:val="20"/>
              </w:rPr>
              <w:t xml:space="preserve">55</w:t>
            </w:r>
          </w:p>
        </w:tc>
        <w:tc>
          <w:tcPr>
            <w:tcW w:type="dxa" w:w="800"/>
            <w:tcMar>
              <w:top w:type="dxa" w:w="60"/>
              <w:left w:type="dxa" w:w="100"/>
              <w:bottom w:type="dxa" w:w="60"/>
              <w:right w:type="dxa" w:w="100"/>
            </w:tcMar>
          </w:tcPr>
          <w:p>
            <w:r>
              <w:rPr>
                <w:sz w:val="20"/>
                <w:szCs w:val="20"/>
              </w:rPr>
              <w:t xml:space="preserve">15,7 %</w:t>
            </w:r>
          </w:p>
        </w:tc>
        <w:tc>
          <w:tcPr>
            <w:tcW w:type="dxa" w:w="1300"/>
            <w:tcMar>
              <w:top w:type="dxa" w:w="60"/>
              <w:left w:type="dxa" w:w="100"/>
              <w:bottom w:type="dxa" w:w="60"/>
              <w:right w:type="dxa" w:w="100"/>
            </w:tcMar>
          </w:tcPr>
          <w:p>
            <w:r>
              <w:rPr>
                <w:sz w:val="20"/>
                <w:szCs w:val="20"/>
              </w:rPr>
              <w:t xml:space="preserve">294,42</w:t>
            </w:r>
          </w:p>
        </w:tc>
        <w:tc>
          <w:tcPr>
            <w:tcW w:type="dxa" w:w="4710"/>
            <w:tcMar>
              <w:top w:type="dxa" w:w="60"/>
              <w:left w:type="dxa" w:w="100"/>
              <w:bottom w:type="dxa" w:w="60"/>
              <w:right w:type="dxa" w:w="100"/>
            </w:tcMar>
          </w:tcPr>
          <w:p>
            <w:r>
              <w:rPr>
                <w:sz w:val="20"/>
                <w:szCs w:val="20"/>
              </w:rPr>
              <w:t xml:space="preserve">Activos y constantes de ticket medio: venta cruzada de productos y clases premium.</w:t>
            </w:r>
          </w:p>
        </w:tc>
      </w:tr>
      <w:tr>
        <w:tc>
          <w:tcPr>
            <w:tcW w:type="dxa" w:w="1750"/>
            <w:tcMar>
              <w:top w:type="dxa" w:w="60"/>
              <w:left w:type="dxa" w:w="100"/>
              <w:bottom w:type="dxa" w:w="60"/>
              <w:right w:type="dxa" w:w="100"/>
            </w:tcMar>
          </w:tcPr>
          <w:p>
            <w:r>
              <w:rPr>
                <w:sz w:val="20"/>
                <w:szCs w:val="20"/>
              </w:rPr>
              <w:t xml:space="preserve">Nuevo / Prometedor</w:t>
            </w:r>
          </w:p>
        </w:tc>
        <w:tc>
          <w:tcPr>
            <w:tcW w:type="dxa" w:w="800"/>
            <w:tcMar>
              <w:top w:type="dxa" w:w="60"/>
              <w:left w:type="dxa" w:w="100"/>
              <w:bottom w:type="dxa" w:w="60"/>
              <w:right w:type="dxa" w:w="100"/>
            </w:tcMar>
          </w:tcPr>
          <w:p>
            <w:r>
              <w:rPr>
                <w:sz w:val="20"/>
                <w:szCs w:val="20"/>
              </w:rPr>
              <w:t xml:space="preserve">31</w:t>
            </w:r>
          </w:p>
        </w:tc>
        <w:tc>
          <w:tcPr>
            <w:tcW w:type="dxa" w:w="800"/>
            <w:tcMar>
              <w:top w:type="dxa" w:w="60"/>
              <w:left w:type="dxa" w:w="100"/>
              <w:bottom w:type="dxa" w:w="60"/>
              <w:right w:type="dxa" w:w="100"/>
            </w:tcMar>
          </w:tcPr>
          <w:p>
            <w:r>
              <w:rPr>
                <w:sz w:val="20"/>
                <w:szCs w:val="20"/>
              </w:rPr>
              <w:t xml:space="preserve">8,9 %</w:t>
            </w:r>
          </w:p>
        </w:tc>
        <w:tc>
          <w:tcPr>
            <w:tcW w:type="dxa" w:w="1300"/>
            <w:tcMar>
              <w:top w:type="dxa" w:w="60"/>
              <w:left w:type="dxa" w:w="100"/>
              <w:bottom w:type="dxa" w:w="60"/>
              <w:right w:type="dxa" w:w="100"/>
            </w:tcMar>
          </w:tcPr>
          <w:p>
            <w:r>
              <w:rPr>
                <w:sz w:val="20"/>
                <w:szCs w:val="20"/>
              </w:rPr>
              <w:t xml:space="preserve">230,58</w:t>
            </w:r>
          </w:p>
        </w:tc>
        <w:tc>
          <w:tcPr>
            <w:tcW w:type="dxa" w:w="4710"/>
            <w:tcMar>
              <w:top w:type="dxa" w:w="60"/>
              <w:left w:type="dxa" w:w="100"/>
              <w:bottom w:type="dxa" w:w="60"/>
              <w:right w:type="dxa" w:w="100"/>
            </w:tcMar>
          </w:tcPr>
          <w:p>
            <w:r>
              <w:rPr>
                <w:sz w:val="20"/>
                <w:szCs w:val="20"/>
              </w:rPr>
              <w:t xml:space="preserve">Compraron hace poco: onboarding activo durante los primeros 90 días para consolidar el hábito.</w:t>
            </w:r>
          </w:p>
        </w:tc>
      </w:tr>
    </w:tbl>
    <w:p>
      <w:pPr>
        <w:spacing w:after="120" w:line="276"/>
        <w:jc w:val="both"/>
      </w:pPr>
      <w:r>
        <w:rPr>
          <w:sz w:val="22"/>
          <w:szCs w:val="22"/>
        </w:rPr>
        <w:t xml:space="preserve"/>
      </w:r>
    </w:p>
    <w:p>
      <w:pPr>
        <w:spacing w:after="120" w:line="276"/>
        <w:jc w:val="both"/>
      </w:pPr>
      <w:r>
        <w:rPr>
          <w:sz w:val="22"/>
          <w:szCs w:val="22"/>
        </w:rPr>
        <w:t xml:space="preserve">Lectura gerencial: el 16 % de los socios (VIP) genera un gasto promedio 7,8 veces mayor que el segmento Perdido, por lo que protegerlos es la prioridad número uno. El hallazgo más accionable es el segmento Recuperable (18 % de la base con gasto histórico alto): es exactamente la población sobre la que el módulo CRM dispara sus alertas, uniendo la analítica (RFM) con la operación (CRM) en un mismo ciclo de decisión.</w:t>
      </w:r>
    </w:p>
    <w:p>
      <w:pPr>
        <w:pStyle w:val="Heading2"/>
        <w:spacing w:after="120" w:before="240"/>
      </w:pPr>
      <w:r>
        <w:rPr>
          <w:color w:val="333333"/>
        </w:rPr>
        <w:t xml:space="preserve">4.2 Auditoría web: KPIs de desempeño y seguridad para el despliegue en la nube</w:t>
      </w:r>
    </w:p>
    <w:p>
      <w:pPr>
        <w:spacing w:after="120" w:line="276"/>
        <w:jc w:val="both"/>
      </w:pPr>
      <w:r>
        <w:rPr>
          <w:sz w:val="22"/>
          <w:szCs w:val="22"/>
        </w:rPr>
        <w:t xml:space="preserve">Si el sistema se desplegara como aplicación web en la nube, se auditarían los siguientes indicadores de desempeño (Core Web Vitals de Google) con umbrales de la categoría “bueno”: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5460"/>
      </w:tblGrid>
      <w:tr>
        <w:tc>
          <w:tcPr>
            <w:tcW w:type="dxa" w:w="2600"/>
            <w:shd w:fill="2E86AB" w:val="clear"/>
            <w:tcMar>
              <w:top w:type="dxa" w:w="60"/>
              <w:left w:type="dxa" w:w="100"/>
              <w:bottom w:type="dxa" w:w="60"/>
              <w:right w:type="dxa" w:w="100"/>
            </w:tcMar>
          </w:tcPr>
          <w:p>
            <w:r>
              <w:rPr>
                <w:b/>
                <w:bCs/>
                <w:color w:val="FFFFFF"/>
                <w:sz w:val="20"/>
                <w:szCs w:val="20"/>
              </w:rPr>
              <w:t xml:space="preserve">KPI de desempeño</w:t>
            </w:r>
          </w:p>
        </w:tc>
        <w:tc>
          <w:tcPr>
            <w:tcW w:type="dxa" w:w="1300"/>
            <w:shd w:fill="2E86AB" w:val="clear"/>
            <w:tcMar>
              <w:top w:type="dxa" w:w="60"/>
              <w:left w:type="dxa" w:w="100"/>
              <w:bottom w:type="dxa" w:w="60"/>
              <w:right w:type="dxa" w:w="100"/>
            </w:tcMar>
          </w:tcPr>
          <w:p>
            <w:r>
              <w:rPr>
                <w:b/>
                <w:bCs/>
                <w:color w:val="FFFFFF"/>
                <w:sz w:val="20"/>
                <w:szCs w:val="20"/>
              </w:rPr>
              <w:t xml:space="preserve">Umbral objetivo</w:t>
            </w:r>
          </w:p>
        </w:tc>
        <w:tc>
          <w:tcPr>
            <w:tcW w:type="dxa" w:w="5460"/>
            <w:shd w:fill="2E86AB" w:val="clear"/>
            <w:tcMar>
              <w:top w:type="dxa" w:w="60"/>
              <w:left w:type="dxa" w:w="100"/>
              <w:bottom w:type="dxa" w:w="60"/>
              <w:right w:type="dxa" w:w="100"/>
            </w:tcMar>
          </w:tcPr>
          <w:p>
            <w:r>
              <w:rPr>
                <w:b/>
                <w:bCs/>
                <w:color w:val="FFFFFF"/>
                <w:sz w:val="20"/>
                <w:szCs w:val="20"/>
              </w:rPr>
              <w:t xml:space="preserve">Aplicación en FitCore</w:t>
            </w:r>
          </w:p>
        </w:tc>
      </w:tr>
      <w:tr>
        <w:tc>
          <w:tcPr>
            <w:tcW w:type="dxa" w:w="2600"/>
            <w:tcMar>
              <w:top w:type="dxa" w:w="60"/>
              <w:left w:type="dxa" w:w="100"/>
              <w:bottom w:type="dxa" w:w="60"/>
              <w:right w:type="dxa" w:w="100"/>
            </w:tcMar>
          </w:tcPr>
          <w:p>
            <w:r>
              <w:rPr>
                <w:sz w:val="20"/>
                <w:szCs w:val="20"/>
              </w:rPr>
              <w:t xml:space="preserve">LCP (Largest Contentful Paint)</w:t>
            </w:r>
          </w:p>
        </w:tc>
        <w:tc>
          <w:tcPr>
            <w:tcW w:type="dxa" w:w="1300"/>
            <w:tcMar>
              <w:top w:type="dxa" w:w="60"/>
              <w:left w:type="dxa" w:w="100"/>
              <w:bottom w:type="dxa" w:w="60"/>
              <w:right w:type="dxa" w:w="100"/>
            </w:tcMar>
          </w:tcPr>
          <w:p>
            <w:r>
              <w:rPr>
                <w:sz w:val="20"/>
                <w:szCs w:val="20"/>
              </w:rPr>
              <w:t xml:space="preserve">≤ 2,5 s</w:t>
            </w:r>
          </w:p>
        </w:tc>
        <w:tc>
          <w:tcPr>
            <w:tcW w:type="dxa" w:w="5460"/>
            <w:tcMar>
              <w:top w:type="dxa" w:w="60"/>
              <w:left w:type="dxa" w:w="100"/>
              <w:bottom w:type="dxa" w:w="60"/>
              <w:right w:type="dxa" w:w="100"/>
            </w:tcMar>
          </w:tcPr>
          <w:p>
            <w:r>
              <w:rPr>
                <w:sz w:val="20"/>
                <w:szCs w:val="20"/>
              </w:rPr>
              <w:t xml:space="preserve">Renderizado del contenido principal; en el POS equivale a cargar catálogo y buscador al abrir.</w:t>
            </w:r>
          </w:p>
        </w:tc>
      </w:tr>
      <w:tr>
        <w:tc>
          <w:tcPr>
            <w:tcW w:type="dxa" w:w="2600"/>
            <w:tcMar>
              <w:top w:type="dxa" w:w="60"/>
              <w:left w:type="dxa" w:w="100"/>
              <w:bottom w:type="dxa" w:w="60"/>
              <w:right w:type="dxa" w:w="100"/>
            </w:tcMar>
          </w:tcPr>
          <w:p>
            <w:r>
              <w:rPr>
                <w:sz w:val="20"/>
                <w:szCs w:val="20"/>
              </w:rPr>
              <w:t xml:space="preserve">INP (Interaction to Next Paint)</w:t>
            </w:r>
          </w:p>
        </w:tc>
        <w:tc>
          <w:tcPr>
            <w:tcW w:type="dxa" w:w="1300"/>
            <w:tcMar>
              <w:top w:type="dxa" w:w="60"/>
              <w:left w:type="dxa" w:w="100"/>
              <w:bottom w:type="dxa" w:w="60"/>
              <w:right w:type="dxa" w:w="100"/>
            </w:tcMar>
          </w:tcPr>
          <w:p>
            <w:r>
              <w:rPr>
                <w:sz w:val="20"/>
                <w:szCs w:val="20"/>
              </w:rPr>
              <w:t xml:space="preserve">≤ 200 ms</w:t>
            </w:r>
          </w:p>
        </w:tc>
        <w:tc>
          <w:tcPr>
            <w:tcW w:type="dxa" w:w="5460"/>
            <w:tcMar>
              <w:top w:type="dxa" w:w="60"/>
              <w:left w:type="dxa" w:w="100"/>
              <w:bottom w:type="dxa" w:w="60"/>
              <w:right w:type="dxa" w:w="100"/>
            </w:tcMar>
          </w:tcPr>
          <w:p>
            <w:r>
              <w:rPr>
                <w:sz w:val="20"/>
                <w:szCs w:val="20"/>
              </w:rPr>
              <w:t xml:space="preserve">Respuesta a cada interacción (agregar al carrito, registrar venta).</w:t>
            </w:r>
          </w:p>
        </w:tc>
      </w:tr>
      <w:tr>
        <w:tc>
          <w:tcPr>
            <w:tcW w:type="dxa" w:w="2600"/>
            <w:tcMar>
              <w:top w:type="dxa" w:w="60"/>
              <w:left w:type="dxa" w:w="100"/>
              <w:bottom w:type="dxa" w:w="60"/>
              <w:right w:type="dxa" w:w="100"/>
            </w:tcMar>
          </w:tcPr>
          <w:p>
            <w:r>
              <w:rPr>
                <w:sz w:val="20"/>
                <w:szCs w:val="20"/>
              </w:rPr>
              <w:t xml:space="preserve">CLS (Cumulative Layout Shift)</w:t>
            </w:r>
          </w:p>
        </w:tc>
        <w:tc>
          <w:tcPr>
            <w:tcW w:type="dxa" w:w="1300"/>
            <w:tcMar>
              <w:top w:type="dxa" w:w="60"/>
              <w:left w:type="dxa" w:w="100"/>
              <w:bottom w:type="dxa" w:w="60"/>
              <w:right w:type="dxa" w:w="100"/>
            </w:tcMar>
          </w:tcPr>
          <w:p>
            <w:r>
              <w:rPr>
                <w:sz w:val="20"/>
                <w:szCs w:val="20"/>
              </w:rPr>
              <w:t xml:space="preserve">≤ 0,1</w:t>
            </w:r>
          </w:p>
        </w:tc>
        <w:tc>
          <w:tcPr>
            <w:tcW w:type="dxa" w:w="5460"/>
            <w:tcMar>
              <w:top w:type="dxa" w:w="60"/>
              <w:left w:type="dxa" w:w="100"/>
              <w:bottom w:type="dxa" w:w="60"/>
              <w:right w:type="dxa" w:w="100"/>
            </w:tcMar>
          </w:tcPr>
          <w:p>
            <w:r>
              <w:rPr>
                <w:sz w:val="20"/>
                <w:szCs w:val="20"/>
              </w:rPr>
              <w:t xml:space="preserve">Estabilidad visual del dashboard al refrescar los gráficos.</w:t>
            </w:r>
          </w:p>
        </w:tc>
      </w:tr>
      <w:tr>
        <w:tc>
          <w:tcPr>
            <w:tcW w:type="dxa" w:w="2600"/>
            <w:tcMar>
              <w:top w:type="dxa" w:w="60"/>
              <w:left w:type="dxa" w:w="100"/>
              <w:bottom w:type="dxa" w:w="60"/>
              <w:right w:type="dxa" w:w="100"/>
            </w:tcMar>
          </w:tcPr>
          <w:p>
            <w:r>
              <w:rPr>
                <w:sz w:val="20"/>
                <w:szCs w:val="20"/>
              </w:rPr>
              <w:t xml:space="preserve">Disponibilidad (uptime)</w:t>
            </w:r>
          </w:p>
        </w:tc>
        <w:tc>
          <w:tcPr>
            <w:tcW w:type="dxa" w:w="1300"/>
            <w:tcMar>
              <w:top w:type="dxa" w:w="60"/>
              <w:left w:type="dxa" w:w="100"/>
              <w:bottom w:type="dxa" w:w="60"/>
              <w:right w:type="dxa" w:w="100"/>
            </w:tcMar>
          </w:tcPr>
          <w:p>
            <w:r>
              <w:rPr>
                <w:sz w:val="20"/>
                <w:szCs w:val="20"/>
              </w:rPr>
              <w:t xml:space="preserve">≥ 99,5 %</w:t>
            </w:r>
          </w:p>
        </w:tc>
        <w:tc>
          <w:tcPr>
            <w:tcW w:type="dxa" w:w="5460"/>
            <w:tcMar>
              <w:top w:type="dxa" w:w="60"/>
              <w:left w:type="dxa" w:w="100"/>
              <w:bottom w:type="dxa" w:w="60"/>
              <w:right w:type="dxa" w:w="100"/>
            </w:tcMar>
          </w:tcPr>
          <w:p>
            <w:r>
              <w:rPr>
                <w:sz w:val="20"/>
                <w:szCs w:val="20"/>
              </w:rPr>
              <w:t xml:space="preserve">Medida con monitoreo externo; el POS es crítico en horario de atención (06h00–22h00).</w:t>
            </w:r>
          </w:p>
        </w:tc>
      </w:tr>
      <w:tr>
        <w:tc>
          <w:tcPr>
            <w:tcW w:type="dxa" w:w="2600"/>
            <w:tcMar>
              <w:top w:type="dxa" w:w="60"/>
              <w:left w:type="dxa" w:w="100"/>
              <w:bottom w:type="dxa" w:w="60"/>
              <w:right w:type="dxa" w:w="100"/>
            </w:tcMar>
          </w:tcPr>
          <w:p>
            <w:r>
              <w:rPr>
                <w:sz w:val="20"/>
                <w:szCs w:val="20"/>
              </w:rPr>
              <w:t xml:space="preserve">TTFB (Time to First Byte)</w:t>
            </w:r>
          </w:p>
        </w:tc>
        <w:tc>
          <w:tcPr>
            <w:tcW w:type="dxa" w:w="1300"/>
            <w:tcMar>
              <w:top w:type="dxa" w:w="60"/>
              <w:left w:type="dxa" w:w="100"/>
              <w:bottom w:type="dxa" w:w="60"/>
              <w:right w:type="dxa" w:w="100"/>
            </w:tcMar>
          </w:tcPr>
          <w:p>
            <w:r>
              <w:rPr>
                <w:sz w:val="20"/>
                <w:szCs w:val="20"/>
              </w:rPr>
              <w:t xml:space="preserve">≤ 0,8 s</w:t>
            </w:r>
          </w:p>
        </w:tc>
        <w:tc>
          <w:tcPr>
            <w:tcW w:type="dxa" w:w="5460"/>
            <w:tcMar>
              <w:top w:type="dxa" w:w="60"/>
              <w:left w:type="dxa" w:w="100"/>
              <w:bottom w:type="dxa" w:w="60"/>
              <w:right w:type="dxa" w:w="100"/>
            </w:tcMar>
          </w:tcPr>
          <w:p>
            <w:r>
              <w:rPr>
                <w:sz w:val="20"/>
                <w:szCs w:val="20"/>
              </w:rPr>
              <w:t xml:space="preserve">Latencia del servidor en la nube ante cada petición.</w:t>
            </w:r>
          </w:p>
        </w:tc>
      </w:tr>
    </w:tbl>
    <w:p>
      <w:pPr>
        <w:spacing w:after="120" w:line="276"/>
        <w:jc w:val="both"/>
      </w:pPr>
      <w:r>
        <w:rPr>
          <w:sz w:val="22"/>
          <w:szCs w:val="22"/>
        </w:rPr>
        <w:t xml:space="preserve"/>
      </w:r>
    </w:p>
    <w:p>
      <w:pPr>
        <w:spacing w:after="120" w:line="276"/>
        <w:jc w:val="both"/>
      </w:pPr>
      <w:r>
        <w:rPr>
          <w:sz w:val="22"/>
          <w:szCs w:val="22"/>
        </w:rPr>
        <w:t xml:space="preserve">Y los siguientes controles y KPIs de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2E86AB" w:val="clear"/>
            <w:tcMar>
              <w:top w:type="dxa" w:w="60"/>
              <w:left w:type="dxa" w:w="100"/>
              <w:bottom w:type="dxa" w:w="60"/>
              <w:right w:type="dxa" w:w="100"/>
            </w:tcMar>
          </w:tcPr>
          <w:p>
            <w:r>
              <w:rPr>
                <w:b/>
                <w:bCs/>
                <w:color w:val="FFFFFF"/>
                <w:sz w:val="20"/>
                <w:szCs w:val="20"/>
              </w:rPr>
              <w:t xml:space="preserve">Control de seguridad</w:t>
            </w:r>
          </w:p>
        </w:tc>
        <w:tc>
          <w:tcPr>
            <w:tcW w:type="dxa" w:w="6760"/>
            <w:shd w:fill="2E86AB" w:val="clear"/>
            <w:tcMar>
              <w:top w:type="dxa" w:w="60"/>
              <w:left w:type="dxa" w:w="100"/>
              <w:bottom w:type="dxa" w:w="60"/>
              <w:right w:type="dxa" w:w="100"/>
            </w:tcMar>
          </w:tcPr>
          <w:p>
            <w:r>
              <w:rPr>
                <w:b/>
                <w:bCs/>
                <w:color w:val="FFFFFF"/>
                <w:sz w:val="20"/>
                <w:szCs w:val="20"/>
              </w:rPr>
              <w:t xml:space="preserve">Criterio de auditoría</w:t>
            </w:r>
          </w:p>
        </w:tc>
      </w:tr>
      <w:tr>
        <w:tc>
          <w:tcPr>
            <w:tcW w:type="dxa" w:w="2600"/>
            <w:tcMar>
              <w:top w:type="dxa" w:w="60"/>
              <w:left w:type="dxa" w:w="100"/>
              <w:bottom w:type="dxa" w:w="60"/>
              <w:right w:type="dxa" w:w="100"/>
            </w:tcMar>
          </w:tcPr>
          <w:p>
            <w:r>
              <w:rPr>
                <w:sz w:val="20"/>
                <w:szCs w:val="20"/>
              </w:rPr>
              <w:t xml:space="preserve">Cifrado en tránsito</w:t>
            </w:r>
          </w:p>
        </w:tc>
        <w:tc>
          <w:tcPr>
            <w:tcW w:type="dxa" w:w="6760"/>
            <w:tcMar>
              <w:top w:type="dxa" w:w="60"/>
              <w:left w:type="dxa" w:w="100"/>
              <w:bottom w:type="dxa" w:w="60"/>
              <w:right w:type="dxa" w:w="100"/>
            </w:tcMar>
          </w:tcPr>
          <w:p>
            <w:r>
              <w:rPr>
                <w:sz w:val="20"/>
                <w:szCs w:val="20"/>
              </w:rPr>
              <w:t xml:space="preserve">HTTPS/TLS 1.3 obligatorio en el 100 % de las páginas (candado y HSTS).</w:t>
            </w:r>
          </w:p>
        </w:tc>
      </w:tr>
      <w:tr>
        <w:tc>
          <w:tcPr>
            <w:tcW w:type="dxa" w:w="2600"/>
            <w:tcMar>
              <w:top w:type="dxa" w:w="60"/>
              <w:left w:type="dxa" w:w="100"/>
              <w:bottom w:type="dxa" w:w="60"/>
              <w:right w:type="dxa" w:w="100"/>
            </w:tcMar>
          </w:tcPr>
          <w:p>
            <w:r>
              <w:rPr>
                <w:sz w:val="20"/>
                <w:szCs w:val="20"/>
              </w:rPr>
              <w:t xml:space="preserve">Autenticación</w:t>
            </w:r>
          </w:p>
        </w:tc>
        <w:tc>
          <w:tcPr>
            <w:tcW w:type="dxa" w:w="6760"/>
            <w:tcMar>
              <w:top w:type="dxa" w:w="60"/>
              <w:left w:type="dxa" w:w="100"/>
              <w:bottom w:type="dxa" w:w="60"/>
              <w:right w:type="dxa" w:w="100"/>
            </w:tcMar>
          </w:tcPr>
          <w:p>
            <w:r>
              <w:rPr>
                <w:sz w:val="20"/>
                <w:szCs w:val="20"/>
              </w:rPr>
              <w:t xml:space="preserve">Contraseñas con hash (bcrypt) y roles diferenciados: cajero, gerente, administrador.</w:t>
            </w:r>
          </w:p>
        </w:tc>
      </w:tr>
      <w:tr>
        <w:tc>
          <w:tcPr>
            <w:tcW w:type="dxa" w:w="2600"/>
            <w:tcMar>
              <w:top w:type="dxa" w:w="60"/>
              <w:left w:type="dxa" w:w="100"/>
              <w:bottom w:type="dxa" w:w="60"/>
              <w:right w:type="dxa" w:w="100"/>
            </w:tcMar>
          </w:tcPr>
          <w:p>
            <w:r>
              <w:rPr>
                <w:sz w:val="20"/>
                <w:szCs w:val="20"/>
              </w:rPr>
              <w:t xml:space="preserve">Protección de datos personales</w:t>
            </w:r>
          </w:p>
        </w:tc>
        <w:tc>
          <w:tcPr>
            <w:tcW w:type="dxa" w:w="6760"/>
            <w:tcMar>
              <w:top w:type="dxa" w:w="60"/>
              <w:left w:type="dxa" w:w="100"/>
              <w:bottom w:type="dxa" w:w="60"/>
              <w:right w:type="dxa" w:w="100"/>
            </w:tcMar>
          </w:tcPr>
          <w:p>
            <w:r>
              <w:rPr>
                <w:sz w:val="20"/>
                <w:szCs w:val="20"/>
              </w:rPr>
              <w:t xml:space="preserve">Cumplimiento de la LOPDP ecuatoriana: consentimiento, minimización y derecho de eliminación de datos de socios.</w:t>
            </w:r>
          </w:p>
        </w:tc>
      </w:tr>
      <w:tr>
        <w:tc>
          <w:tcPr>
            <w:tcW w:type="dxa" w:w="2600"/>
            <w:tcMar>
              <w:top w:type="dxa" w:w="60"/>
              <w:left w:type="dxa" w:w="100"/>
              <w:bottom w:type="dxa" w:w="60"/>
              <w:right w:type="dxa" w:w="100"/>
            </w:tcMar>
          </w:tcPr>
          <w:p>
            <w:r>
              <w:rPr>
                <w:sz w:val="20"/>
                <w:szCs w:val="20"/>
              </w:rPr>
              <w:t xml:space="preserve">Inyección SQL</w:t>
            </w:r>
          </w:p>
        </w:tc>
        <w:tc>
          <w:tcPr>
            <w:tcW w:type="dxa" w:w="6760"/>
            <w:tcMar>
              <w:top w:type="dxa" w:w="60"/>
              <w:left w:type="dxa" w:w="100"/>
              <w:bottom w:type="dxa" w:w="60"/>
              <w:right w:type="dxa" w:w="100"/>
            </w:tcMar>
          </w:tcPr>
          <w:p>
            <w:r>
              <w:rPr>
                <w:sz w:val="20"/>
                <w:szCs w:val="20"/>
              </w:rPr>
              <w:t xml:space="preserve">Consultas 100 % parametrizadas (ya implementado en el código con placeholders de sqlite3).</w:t>
            </w:r>
          </w:p>
        </w:tc>
      </w:tr>
      <w:tr>
        <w:tc>
          <w:tcPr>
            <w:tcW w:type="dxa" w:w="2600"/>
            <w:tcMar>
              <w:top w:type="dxa" w:w="60"/>
              <w:left w:type="dxa" w:w="100"/>
              <w:bottom w:type="dxa" w:w="60"/>
              <w:right w:type="dxa" w:w="100"/>
            </w:tcMar>
          </w:tcPr>
          <w:p>
            <w:r>
              <w:rPr>
                <w:sz w:val="20"/>
                <w:szCs w:val="20"/>
              </w:rPr>
              <w:t xml:space="preserve">Respaldos</w:t>
            </w:r>
          </w:p>
        </w:tc>
        <w:tc>
          <w:tcPr>
            <w:tcW w:type="dxa" w:w="6760"/>
            <w:tcMar>
              <w:top w:type="dxa" w:w="60"/>
              <w:left w:type="dxa" w:w="100"/>
              <w:bottom w:type="dxa" w:w="60"/>
              <w:right w:type="dxa" w:w="100"/>
            </w:tcMar>
          </w:tcPr>
          <w:p>
            <w:r>
              <w:rPr>
                <w:sz w:val="20"/>
                <w:szCs w:val="20"/>
              </w:rPr>
              <w:t xml:space="preserve">Copia automática diaria de la base de datos con retención de 30 días y prueba de restauración mensual.</w:t>
            </w:r>
          </w:p>
        </w:tc>
      </w:tr>
      <w:tr>
        <w:tc>
          <w:tcPr>
            <w:tcW w:type="dxa" w:w="2600"/>
            <w:tcMar>
              <w:top w:type="dxa" w:w="60"/>
              <w:left w:type="dxa" w:w="100"/>
              <w:bottom w:type="dxa" w:w="60"/>
              <w:right w:type="dxa" w:w="100"/>
            </w:tcMar>
          </w:tcPr>
          <w:p>
            <w:r>
              <w:rPr>
                <w:sz w:val="20"/>
                <w:szCs w:val="20"/>
              </w:rPr>
              <w:t xml:space="preserve">Auditoría de accesos</w:t>
            </w:r>
          </w:p>
        </w:tc>
        <w:tc>
          <w:tcPr>
            <w:tcW w:type="dxa" w:w="6760"/>
            <w:tcMar>
              <w:top w:type="dxa" w:w="60"/>
              <w:left w:type="dxa" w:w="100"/>
              <w:bottom w:type="dxa" w:w="60"/>
              <w:right w:type="dxa" w:w="100"/>
            </w:tcMar>
          </w:tcPr>
          <w:p>
            <w:r>
              <w:rPr>
                <w:sz w:val="20"/>
                <w:szCs w:val="20"/>
              </w:rPr>
              <w:t xml:space="preserve">Registro (log) de inicios de sesión y de operaciones sensibles: anulación de ventas, cambios de precios.</w:t>
            </w:r>
          </w:p>
        </w:tc>
      </w:tr>
    </w:tbl>
    <w:p>
      <w:pPr>
        <w:pStyle w:val="Heading2"/>
        <w:spacing w:after="120" w:before="240"/>
      </w:pPr>
      <w:r>
        <w:rPr>
          <w:color w:val="333333"/>
        </w:rPr>
        <w:t xml:space="preserve">4.3 Dashboard gerencial e interpretación</w:t>
      </w:r>
    </w:p>
    <w:p>
      <w:pPr>
        <w:spacing w:after="40" w:before="120"/>
        <w:jc w:val="center"/>
      </w:pPr>
      <w:r>
        <w:drawing>
          <wp:inline distT="0" distB="0" distL="0" distR="0">
            <wp:extent cx="6096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657600"/>
                    </a:xfrm>
                    <a:prstGeom prst="rect">
                      <a:avLst/>
                    </a:prstGeom>
                  </pic:spPr>
                </pic:pic>
              </a:graphicData>
            </a:graphic>
          </wp:inline>
        </w:drawing>
      </w:r>
    </w:p>
    <w:p>
      <w:pPr>
        <w:spacing w:after="200"/>
        <w:jc w:val="center"/>
      </w:pPr>
      <w:r>
        <w:rPr>
          <w:i/>
          <w:iCs/>
          <w:color w:val="666666"/>
          <w:sz w:val="18"/>
          <w:szCs w:val="18"/>
        </w:rPr>
        <w:t xml:space="preserve">Figura 9. Tablero de control gerencial generado por el sistema (Matplotlib), actualizado tras la venta en vivo.</w:t>
      </w:r>
    </w:p>
    <w:p>
      <w:pPr>
        <w:pStyle w:val="ListParagraph"/>
        <w:numPr>
          <w:ilvl w:val="0"/>
          <w:numId w:val="2"/>
        </w:numPr>
        <w:spacing w:after="80" w:line="276"/>
      </w:pPr>
      <w:r>
        <w:rPr>
          <w:b/>
          <w:bCs/>
          <w:sz w:val="22"/>
          <w:szCs w:val="22"/>
        </w:rPr>
        <w:t xml:space="preserve">Panel 1 (Ventas):</w:t>
      </w:r>
      <w:r>
        <w:rPr>
          <w:sz w:val="22"/>
          <w:szCs w:val="22"/>
        </w:rPr>
        <w:t xml:space="preserve"> muestra el crecimiento sostenido de la facturación semanal conforme se incorporan socios, con picos regulares que coinciden con las renovaciones mensuales de membresías; la caída del extremo derecho corresponde a la semana en curso (incompleta).</w:t>
      </w:r>
    </w:p>
    <w:p>
      <w:pPr>
        <w:pStyle w:val="ListParagraph"/>
        <w:numPr>
          <w:ilvl w:val="0"/>
          <w:numId w:val="2"/>
        </w:numPr>
        <w:spacing w:after="80" w:line="276"/>
      </w:pPr>
      <w:r>
        <w:rPr>
          <w:b/>
          <w:bCs/>
          <w:sz w:val="22"/>
          <w:szCs w:val="22"/>
        </w:rPr>
        <w:t xml:space="preserve">Panel 2 (RFM):</w:t>
      </w:r>
      <w:r>
        <w:rPr>
          <w:sz w:val="22"/>
          <w:szCs w:val="22"/>
        </w:rPr>
        <w:t xml:space="preserve"> la base está balanceada pero con un 22 % de socios perdidos y un 18 % recuperables: casi 4 de cada 10 socios requieren acción de retención, lo que valida la inversión en el módulo CRM.</w:t>
      </w:r>
    </w:p>
    <w:p>
      <w:pPr>
        <w:pStyle w:val="ListParagraph"/>
        <w:numPr>
          <w:ilvl w:val="0"/>
          <w:numId w:val="2"/>
        </w:numPr>
        <w:spacing w:after="80" w:line="276"/>
      </w:pPr>
      <w:r>
        <w:rPr>
          <w:b/>
          <w:bCs/>
          <w:sz w:val="22"/>
          <w:szCs w:val="22"/>
        </w:rPr>
        <w:t xml:space="preserve">Panel 3 (ERP/SCM):</w:t>
      </w:r>
      <w:r>
        <w:rPr>
          <w:sz w:val="22"/>
          <w:szCs w:val="22"/>
        </w:rPr>
        <w:t xml:space="preserve"> ingresos acumulados de USD 130.577 frente a gastos de reposición de USD 1.100 en el período; el indicador SCM muestra que la Proteína Whey es el producto más pedido a proveedores, información clave para negociar volumen.</w:t>
      </w:r>
    </w:p>
    <w:p>
      <w:pPr>
        <w:pStyle w:val="ListParagraph"/>
        <w:numPr>
          <w:ilvl w:val="0"/>
          <w:numId w:val="2"/>
        </w:numPr>
        <w:spacing w:after="80" w:line="276"/>
      </w:pPr>
      <w:r>
        <w:rPr>
          <w:b/>
          <w:bCs/>
          <w:sz w:val="22"/>
          <w:szCs w:val="22"/>
        </w:rPr>
        <w:t xml:space="preserve">Panel 4 (CRM):</w:t>
      </w:r>
      <w:r>
        <w:rPr>
          <w:sz w:val="22"/>
          <w:szCs w:val="22"/>
        </w:rPr>
        <w:t xml:space="preserve"> los 137 socios en riesgo, ordenados por días de inactividad, dan a la gerencia una lista de trabajo priorizada para las campañas de recuperación.</w:t>
      </w:r>
    </w:p>
    <w:p>
      <w:r>
        <w:br w:type="page"/>
      </w:r>
    </w:p>
    <w:p>
      <w:pPr>
        <w:pStyle w:val="Heading1"/>
        <w:spacing w:after="160" w:before="320"/>
      </w:pPr>
      <w:r>
        <w:rPr>
          <w:color w:val="2E86AB"/>
        </w:rPr>
        <w:t xml:space="preserve">5. Conclusiones y Recomendaciones</w:t>
      </w:r>
    </w:p>
    <w:p>
      <w:pPr>
        <w:pStyle w:val="ListParagraph"/>
        <w:numPr>
          <w:ilvl w:val="0"/>
          <w:numId w:val="2"/>
        </w:numPr>
        <w:spacing w:after="80" w:line="276"/>
      </w:pPr>
      <w:r>
        <w:rPr>
          <w:sz w:val="22"/>
          <w:szCs w:val="22"/>
        </w:rPr>
        <w:t xml:space="preserve">La integración por bus de eventos demostró que una sola acción de negocio (una venta) puede actualizar contabilidad, abastecimiento y gestión de clientes sin intervención humana, eliminando los silos de información de la operación manual.</w:t>
      </w:r>
    </w:p>
    <w:p>
      <w:pPr>
        <w:pStyle w:val="ListParagraph"/>
        <w:numPr>
          <w:ilvl w:val="0"/>
          <w:numId w:val="2"/>
        </w:numPr>
        <w:spacing w:after="80" w:line="276"/>
      </w:pPr>
      <w:r>
        <w:rPr>
          <w:sz w:val="22"/>
          <w:szCs w:val="22"/>
        </w:rPr>
        <w:t xml:space="preserve">La combinación RFM + CRM convierte la analítica en operación: los segmentos no se quedan en un gráfico, sino que alimentan alertas accionables con nombre y apellido.</w:t>
      </w:r>
    </w:p>
    <w:p>
      <w:pPr>
        <w:pStyle w:val="ListParagraph"/>
        <w:numPr>
          <w:ilvl w:val="0"/>
          <w:numId w:val="2"/>
        </w:numPr>
        <w:spacing w:after="80" w:line="276"/>
      </w:pPr>
      <w:r>
        <w:rPr>
          <w:sz w:val="22"/>
          <w:szCs w:val="22"/>
        </w:rPr>
        <w:t xml:space="preserve">Se recomienda como siguiente fase: migrar la interfaz a web (Flask/Streamlit) manteniendo la misma capa de dominio, incorporar autenticación por roles y evolucionar el CRM hacia un modelo predictivo de churn entrenado con el histórico del propio sistema.</w:t>
      </w:r>
    </w:p>
    <w:p>
      <w:pPr>
        <w:pStyle w:val="Heading1"/>
        <w:spacing w:after="160" w:before="320"/>
      </w:pPr>
      <w:r>
        <w:rPr>
          <w:color w:val="2E86AB"/>
        </w:rPr>
        <w:t xml:space="preserve">6. Anexos</w:t>
      </w:r>
    </w:p>
    <w:p>
      <w:pPr>
        <w:spacing w:after="120" w:line="276"/>
        <w:jc w:val="both"/>
      </w:pPr>
      <w:r>
        <w:rPr>
          <w:b/>
          <w:bCs/>
          <w:sz w:val="22"/>
          <w:szCs w:val="22"/>
        </w:rPr>
        <w:t xml:space="preserve">Repositorio de código fuente: </w:t>
      </w:r>
      <w:r>
        <w:rPr>
          <w:color w:val="2E86AB"/>
          <w:sz w:val="22"/>
          <w:szCs w:val="22"/>
        </w:rPr>
        <w:t xml:space="preserve">[ENLACE AL REPOSITORIO EN GITHUB]</w:t>
      </w:r>
    </w:p>
    <w:p>
      <w:pPr>
        <w:spacing w:after="120" w:line="276"/>
        <w:jc w:val="both"/>
      </w:pPr>
      <w:r>
        <w:rPr>
          <w:sz w:val="22"/>
          <w:szCs w:val="22"/>
        </w:rPr>
        <w:t xml:space="preserve">Instrucciones de ejecución: (1) instalar dependencias con pip install pandas matplotlib; (2) generar la base con python preparar_datos.py; (3) ejecutar la demo integral con python demo_integracion.py o el sistema interactivo con python main.py. El dashboard se genera en data/dashboard.png.</w:t>
      </w:r>
    </w:p>
    <w:p>
      <w:pPr>
        <w:spacing w:after="120" w:line="276"/>
        <w:jc w:val="both"/>
      </w:pPr>
      <w:r>
        <w:rPr>
          <w:sz w:val="22"/>
          <w:szCs w:val="22"/>
        </w:rPr>
        <w:t xml:space="preserve">Dataset base de clientes: Gym Customers Features and Churn (Kaggle, adrianvinueza). Al describir perfiles y no transacciones, el histórico transaccional se simuló de forma coherente con cada perfil: la frecuencia de compra sigue la variable Avg_class_frequency_total y los socios con Churn = 1 interrumpen sus compras entre 45 y 180 días antes de la fecha actual, lo que permite que el CRM y el RFM detecten deserción real.</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5e0eafafa7d747ac9e287c05e87208fca3d0ea1.png"/><Relationship Id="rId8" Type="http://schemas.openxmlformats.org/officeDocument/2006/relationships/image" Target="media/116bf445b182a3de2b39847b8499903c86e08135.png"/><Relationship Id="rId9" Type="http://schemas.openxmlformats.org/officeDocument/2006/relationships/image" Target="media/e4f3429dafef8bdc7a87bce9f34c4e1076a77397.png"/><Relationship Id="rId10" Type="http://schemas.openxmlformats.org/officeDocument/2006/relationships/image" Target="media/eceb102b5cd302cce582d9175d72e7b50aa3f53b.png"/><Relationship Id="rId11" Type="http://schemas.openxmlformats.org/officeDocument/2006/relationships/image" Target="media/ba4baa7297f954c6e23145bbf162b26f47a21fed.png"/><Relationship Id="rId12" Type="http://schemas.openxmlformats.org/officeDocument/2006/relationships/image" Target="media/a5a689df86cbf50f24125db82375577832a77284.png"/><Relationship Id="rId13" Type="http://schemas.openxmlformats.org/officeDocument/2006/relationships/image" Target="media/e9ec82e1c0b799c49210f030ea351dcfc56a8c3b.png"/><Relationship Id="rId14" Type="http://schemas.openxmlformats.org/officeDocument/2006/relationships/image" Target="media/98bccd42bcf809f881ca4bb10960d18bb9d501ce.png"/><Relationship Id="rId15" Type="http://schemas.openxmlformats.org/officeDocument/2006/relationships/image" Target="media/5aff22bc4ace63de9c6b732410155bc646e4b5e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2026-07-24T03:46:52.958Z</dcterms:created>
  <dcterms:modified xsi:type="dcterms:W3CDTF">2026-07-24T03:46:52.970Z</dcterms:modified>
</cp:coreProperties>
</file>

<file path=docProps/custom.xml><?xml version="1.0" encoding="utf-8"?>
<Properties xmlns="http://schemas.openxmlformats.org/officeDocument/2006/custom-properties" xmlns:vt="http://schemas.openxmlformats.org/officeDocument/2006/docPropsVTypes"/>
</file>