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ZIP3 Census Features — Data Dictionary</w:t>
      </w:r>
    </w:p>
    <w:p>
      <w:r>
        <w:rPr>
          <w:i/>
          <w:sz w:val="20"/>
        </w:rPr>
        <w:t>File: zip3_census_features_acs5_2012.csv</w:t>
        <w:br/>
        <w:t>Generated: July 2026 | Source: U.S. Census Bureau, ACS 5-Year Estimates (2008–2012), Census Data API</w:t>
      </w:r>
    </w:p>
    <w:p>
      <w:pPr>
        <w:pStyle w:val="Heading1"/>
      </w:pPr>
      <w:r>
        <w:t>1. Overview</w:t>
      </w:r>
    </w:p>
    <w:p>
      <w:r>
        <w:t>This table provides socio-economic and demographic features at the 3-digit ZIP code (ZIP3) level, for use as area-level features in the credit risk and algorithmic fairness analysis of LendingClub loans. Each row is one unique ZIP3; there are 829 rows and 20 columns (1 identifier + 19 features). The table contains no missing values and no duplicate ZIP3 codes.</w:t>
      </w:r>
    </w:p>
    <w:p>
      <w:pPr>
        <w:pStyle w:val="Heading1"/>
      </w:pPr>
      <w:r>
        <w:t>2. Construction</w:t>
      </w:r>
    </w:p>
    <w:p>
      <w:pPr>
        <w:pStyle w:val="ListBullet"/>
      </w:pPr>
      <w:r>
        <w:rPr>
          <w:b/>
        </w:rPr>
        <w:t xml:space="preserve">Vintage: </w:t>
      </w:r>
      <w:r>
        <w:t>ACS 5-Year Estimates for 2012, i.e., data collected over 2008–2012. This vintage was chosen to match the loan origination period of the filtered LendingClub sample (2011–2012) and uses 2010 Census ZCTA boundaries.</w:t>
      </w:r>
    </w:p>
    <w:p>
      <w:pPr>
        <w:pStyle w:val="ListBullet"/>
      </w:pPr>
      <w:r>
        <w:rPr>
          <w:b/>
        </w:rPr>
        <w:t xml:space="preserve">Geography: </w:t>
      </w:r>
      <w:r>
        <w:t>Data were pulled for all 33,120 ZIP Code Tabulation Areas (ZCTAs) in the United States, then aggregated to ZIP3 by taking the first 3 digits of each ZCTA code.</w:t>
      </w:r>
    </w:p>
    <w:p>
      <w:pPr>
        <w:pStyle w:val="ListBullet"/>
      </w:pPr>
      <w:r>
        <w:rPr>
          <w:b/>
        </w:rPr>
        <w:t xml:space="preserve">Aggregation — counts: </w:t>
      </w:r>
      <w:r>
        <w:t>Absolute counts (population, households, persons below poverty, unemployed, etc.) were summed across all ZCTAs in a ZIP3.</w:t>
      </w:r>
    </w:p>
    <w:p>
      <w:pPr>
        <w:pStyle w:val="ListBullet"/>
      </w:pPr>
      <w:r>
        <w:rPr>
          <w:b/>
        </w:rPr>
        <w:t xml:space="preserve">Aggregation — medians: </w:t>
      </w:r>
      <w:r>
        <w:t>Medians cannot be summed. ZIP3 median household income is approximated as a weighted average of ZCTA medians, weighted by the number of households in each ZCTA. ZIP3 median home value is weighted by the number of owner-occupied units. Column names carry the _approx suffix to flag this approximation.</w:t>
      </w:r>
    </w:p>
    <w:p>
      <w:pPr>
        <w:pStyle w:val="ListBullet"/>
      </w:pPr>
      <w:r>
        <w:rPr>
          <w:b/>
        </w:rPr>
        <w:t xml:space="preserve">Rates: </w:t>
      </w:r>
      <w:r>
        <w:t>All shares/rates were computed after aggregation (ratio of ZIP3-level sums), never as averages of ZCTA-level rates. Ratios with a zero or missing denominator were set to missing before imputation.</w:t>
      </w:r>
    </w:p>
    <w:p>
      <w:pPr>
        <w:pStyle w:val="ListBullet"/>
      </w:pPr>
      <w:r>
        <w:rPr>
          <w:b/>
        </w:rPr>
        <w:t xml:space="preserve">Sample restriction: </w:t>
      </w:r>
      <w:r>
        <w:t>The table is restricted to the 843 unique ZIP3 codes present in the filtered LendingClub dataset (lc_after_03_advanced_prep). 829 of them (98.3%) have census data; the remaining 14 (military bases, PO-box-only prefixes, etc.) are listed in missing_zip3_in_panel.csv.</w:t>
      </w:r>
    </w:p>
    <w:p>
      <w:pPr>
        <w:pStyle w:val="ListBullet"/>
      </w:pPr>
      <w:r>
        <w:rPr>
          <w:b/>
        </w:rPr>
        <w:t xml:space="preserve">Missing values: </w:t>
      </w:r>
      <w:r>
        <w:t>After restriction, 2–4 ZIP3s per column had missing values; these were imputed with the median of the included ZIP3s.</w:t>
      </w:r>
    </w:p>
    <w:p>
      <w:pPr>
        <w:pStyle w:val="ListBullet"/>
      </w:pPr>
      <w:r>
        <w:rPr>
          <w:b/>
        </w:rPr>
        <w:t xml:space="preserve">Rounding: </w:t>
      </w:r>
      <w:r>
        <w:t>Rates are rounded to 4 decimal places; dollar amounts and counts are integers.</w:t>
      </w:r>
    </w:p>
    <w:p>
      <w:pPr>
        <w:pStyle w:val="Heading1"/>
      </w:pPr>
      <w:r>
        <w:t>3. Variable Definitions</w:t>
      </w:r>
    </w:p>
    <w:tbl>
      <w:tblPr>
        <w:tblStyle w:val="LightGrid-Accent1"/>
        <w:tblW w:type="auto" w:w="0"/>
        <w:tblLook w:firstColumn="1" w:firstRow="1" w:lastColumn="0" w:lastRow="0" w:noHBand="0" w:noVBand="1" w:val="04A0"/>
      </w:tblPr>
      <w:tblGrid>
        <w:gridCol w:w="2736"/>
        <w:gridCol w:w="1296"/>
        <w:gridCol w:w="5760"/>
      </w:tblGrid>
      <w:tr>
        <w:tc>
          <w:tcPr>
            <w:tcW w:type="dxa" w:w="2736"/>
          </w:tcPr>
          <w:p>
            <w:r>
              <w:rPr>
                <w:b/>
              </w:rPr>
              <w:t>Variable</w:t>
            </w:r>
          </w:p>
        </w:tc>
        <w:tc>
          <w:tcPr>
            <w:tcW w:type="dxa" w:w="1296"/>
          </w:tcPr>
          <w:p>
            <w:r>
              <w:rPr>
                <w:b/>
              </w:rPr>
              <w:t>ACS Table</w:t>
            </w:r>
          </w:p>
        </w:tc>
        <w:tc>
          <w:tcPr>
            <w:tcW w:type="dxa" w:w="5760"/>
          </w:tcPr>
          <w:p>
            <w:r>
              <w:rPr>
                <w:b/>
              </w:rPr>
              <w:t>Definition</w:t>
            </w:r>
          </w:p>
        </w:tc>
      </w:tr>
      <w:tr>
        <w:tc>
          <w:tcPr>
            <w:tcW w:type="dxa" w:w="2736"/>
          </w:tcPr>
          <w:p>
            <w:r>
              <w:rPr>
                <w:rFonts w:ascii="Consolas" w:hAnsi="Consolas"/>
                <w:sz w:val="19"/>
              </w:rPr>
              <w:t>zip3</w:t>
            </w:r>
          </w:p>
        </w:tc>
        <w:tc>
          <w:tcPr>
            <w:tcW w:type="dxa" w:w="1296"/>
          </w:tcPr>
          <w:p>
            <w:r>
              <w:rPr>
                <w:sz w:val="19"/>
              </w:rPr>
              <w:t>—</w:t>
            </w:r>
          </w:p>
        </w:tc>
        <w:tc>
          <w:tcPr>
            <w:tcW w:type="dxa" w:w="5760"/>
          </w:tcPr>
          <w:p>
            <w:r>
              <w:rPr>
                <w:sz w:val="19"/>
              </w:rPr>
              <w:t>3-digit ZIP code prefix (string, zero-padded, e.g. "007"). Join key to the LendingClub data. Read with a string dtype to preserve leading zeros.</w:t>
            </w:r>
          </w:p>
        </w:tc>
      </w:tr>
      <w:tr>
        <w:tc>
          <w:tcPr>
            <w:tcW w:type="dxa" w:w="2736"/>
          </w:tcPr>
          <w:p>
            <w:r>
              <w:rPr>
                <w:rFonts w:ascii="Consolas" w:hAnsi="Consolas"/>
                <w:sz w:val="19"/>
              </w:rPr>
              <w:t>share_white</w:t>
            </w:r>
          </w:p>
        </w:tc>
        <w:tc>
          <w:tcPr>
            <w:tcW w:type="dxa" w:w="1296"/>
          </w:tcPr>
          <w:p>
            <w:r>
              <w:rPr>
                <w:sz w:val="19"/>
              </w:rPr>
              <w:t>B02001</w:t>
            </w:r>
          </w:p>
        </w:tc>
        <w:tc>
          <w:tcPr>
            <w:tcW w:type="dxa" w:w="5760"/>
          </w:tcPr>
          <w:p>
            <w:r>
              <w:rPr>
                <w:sz w:val="19"/>
              </w:rPr>
              <w:t>Share of total population reporting White alone (any ethnicity).</w:t>
            </w:r>
          </w:p>
        </w:tc>
      </w:tr>
      <w:tr>
        <w:tc>
          <w:tcPr>
            <w:tcW w:type="dxa" w:w="2736"/>
          </w:tcPr>
          <w:p>
            <w:r>
              <w:rPr>
                <w:rFonts w:ascii="Consolas" w:hAnsi="Consolas"/>
                <w:sz w:val="19"/>
              </w:rPr>
              <w:t>share_black</w:t>
            </w:r>
          </w:p>
        </w:tc>
        <w:tc>
          <w:tcPr>
            <w:tcW w:type="dxa" w:w="1296"/>
          </w:tcPr>
          <w:p>
            <w:r>
              <w:rPr>
                <w:sz w:val="19"/>
              </w:rPr>
              <w:t>B02001</w:t>
            </w:r>
          </w:p>
        </w:tc>
        <w:tc>
          <w:tcPr>
            <w:tcW w:type="dxa" w:w="5760"/>
          </w:tcPr>
          <w:p>
            <w:r>
              <w:rPr>
                <w:sz w:val="19"/>
              </w:rPr>
              <w:t>Share of total population reporting Black or African American alone (any ethnicity).</w:t>
            </w:r>
          </w:p>
        </w:tc>
      </w:tr>
      <w:tr>
        <w:tc>
          <w:tcPr>
            <w:tcW w:type="dxa" w:w="2736"/>
          </w:tcPr>
          <w:p>
            <w:r>
              <w:rPr>
                <w:rFonts w:ascii="Consolas" w:hAnsi="Consolas"/>
                <w:sz w:val="19"/>
              </w:rPr>
              <w:t>share_asian</w:t>
            </w:r>
          </w:p>
        </w:tc>
        <w:tc>
          <w:tcPr>
            <w:tcW w:type="dxa" w:w="1296"/>
          </w:tcPr>
          <w:p>
            <w:r>
              <w:rPr>
                <w:sz w:val="19"/>
              </w:rPr>
              <w:t>B02001</w:t>
            </w:r>
          </w:p>
        </w:tc>
        <w:tc>
          <w:tcPr>
            <w:tcW w:type="dxa" w:w="5760"/>
          </w:tcPr>
          <w:p>
            <w:r>
              <w:rPr>
                <w:sz w:val="19"/>
              </w:rPr>
              <w:t>Share of total population reporting Asian alone (any ethnicity).</w:t>
            </w:r>
          </w:p>
        </w:tc>
      </w:tr>
      <w:tr>
        <w:tc>
          <w:tcPr>
            <w:tcW w:type="dxa" w:w="2736"/>
          </w:tcPr>
          <w:p>
            <w:r>
              <w:rPr>
                <w:rFonts w:ascii="Consolas" w:hAnsi="Consolas"/>
                <w:sz w:val="19"/>
              </w:rPr>
              <w:t>share_white_nh</w:t>
            </w:r>
          </w:p>
        </w:tc>
        <w:tc>
          <w:tcPr>
            <w:tcW w:type="dxa" w:w="1296"/>
          </w:tcPr>
          <w:p>
            <w:r>
              <w:rPr>
                <w:sz w:val="19"/>
              </w:rPr>
              <w:t>B03002</w:t>
            </w:r>
          </w:p>
        </w:tc>
        <w:tc>
          <w:tcPr>
            <w:tcW w:type="dxa" w:w="5760"/>
          </w:tcPr>
          <w:p>
            <w:r>
              <w:rPr>
                <w:sz w:val="19"/>
              </w:rPr>
              <w:t>Share of total population: White alone, not Hispanic or Latino.</w:t>
            </w:r>
          </w:p>
        </w:tc>
      </w:tr>
      <w:tr>
        <w:tc>
          <w:tcPr>
            <w:tcW w:type="dxa" w:w="2736"/>
          </w:tcPr>
          <w:p>
            <w:r>
              <w:rPr>
                <w:rFonts w:ascii="Consolas" w:hAnsi="Consolas"/>
                <w:sz w:val="19"/>
              </w:rPr>
              <w:t>share_black_nh</w:t>
            </w:r>
          </w:p>
        </w:tc>
        <w:tc>
          <w:tcPr>
            <w:tcW w:type="dxa" w:w="1296"/>
          </w:tcPr>
          <w:p>
            <w:r>
              <w:rPr>
                <w:sz w:val="19"/>
              </w:rPr>
              <w:t>B03002</w:t>
            </w:r>
          </w:p>
        </w:tc>
        <w:tc>
          <w:tcPr>
            <w:tcW w:type="dxa" w:w="5760"/>
          </w:tcPr>
          <w:p>
            <w:r>
              <w:rPr>
                <w:sz w:val="19"/>
              </w:rPr>
              <w:t>Share of total population: Black alone, not Hispanic or Latino.</w:t>
            </w:r>
          </w:p>
        </w:tc>
      </w:tr>
      <w:tr>
        <w:tc>
          <w:tcPr>
            <w:tcW w:type="dxa" w:w="2736"/>
          </w:tcPr>
          <w:p>
            <w:r>
              <w:rPr>
                <w:rFonts w:ascii="Consolas" w:hAnsi="Consolas"/>
                <w:sz w:val="19"/>
              </w:rPr>
              <w:t>share_asian_nh</w:t>
            </w:r>
          </w:p>
        </w:tc>
        <w:tc>
          <w:tcPr>
            <w:tcW w:type="dxa" w:w="1296"/>
          </w:tcPr>
          <w:p>
            <w:r>
              <w:rPr>
                <w:sz w:val="19"/>
              </w:rPr>
              <w:t>B03002</w:t>
            </w:r>
          </w:p>
        </w:tc>
        <w:tc>
          <w:tcPr>
            <w:tcW w:type="dxa" w:w="5760"/>
          </w:tcPr>
          <w:p>
            <w:r>
              <w:rPr>
                <w:sz w:val="19"/>
              </w:rPr>
              <w:t>Share of total population: Asian alone, not Hispanic or Latino.</w:t>
            </w:r>
          </w:p>
        </w:tc>
      </w:tr>
      <w:tr>
        <w:tc>
          <w:tcPr>
            <w:tcW w:type="dxa" w:w="2736"/>
          </w:tcPr>
          <w:p>
            <w:r>
              <w:rPr>
                <w:rFonts w:ascii="Consolas" w:hAnsi="Consolas"/>
                <w:sz w:val="19"/>
              </w:rPr>
              <w:t>share_hispanic</w:t>
            </w:r>
          </w:p>
        </w:tc>
        <w:tc>
          <w:tcPr>
            <w:tcW w:type="dxa" w:w="1296"/>
          </w:tcPr>
          <w:p>
            <w:r>
              <w:rPr>
                <w:sz w:val="19"/>
              </w:rPr>
              <w:t>B03002</w:t>
            </w:r>
          </w:p>
        </w:tc>
        <w:tc>
          <w:tcPr>
            <w:tcW w:type="dxa" w:w="5760"/>
          </w:tcPr>
          <w:p>
            <w:r>
              <w:rPr>
                <w:sz w:val="19"/>
              </w:rPr>
              <w:t>Share of total population of Hispanic or Latino origin (any race).</w:t>
            </w:r>
          </w:p>
        </w:tc>
      </w:tr>
      <w:tr>
        <w:tc>
          <w:tcPr>
            <w:tcW w:type="dxa" w:w="2736"/>
          </w:tcPr>
          <w:p>
            <w:r>
              <w:rPr>
                <w:rFonts w:ascii="Consolas" w:hAnsi="Consolas"/>
                <w:sz w:val="19"/>
              </w:rPr>
              <w:t>share_foreign_born</w:t>
            </w:r>
          </w:p>
        </w:tc>
        <w:tc>
          <w:tcPr>
            <w:tcW w:type="dxa" w:w="1296"/>
          </w:tcPr>
          <w:p>
            <w:r>
              <w:rPr>
                <w:sz w:val="19"/>
              </w:rPr>
              <w:t>B05002</w:t>
            </w:r>
          </w:p>
        </w:tc>
        <w:tc>
          <w:tcPr>
            <w:tcW w:type="dxa" w:w="5760"/>
          </w:tcPr>
          <w:p>
            <w:r>
              <w:rPr>
                <w:sz w:val="19"/>
              </w:rPr>
              <w:t>Share of total population born outside the United States.</w:t>
            </w:r>
          </w:p>
        </w:tc>
      </w:tr>
      <w:tr>
        <w:tc>
          <w:tcPr>
            <w:tcW w:type="dxa" w:w="2736"/>
          </w:tcPr>
          <w:p>
            <w:r>
              <w:rPr>
                <w:rFonts w:ascii="Consolas" w:hAnsi="Consolas"/>
                <w:sz w:val="19"/>
              </w:rPr>
              <w:t>share_non_english_hh</w:t>
            </w:r>
          </w:p>
        </w:tc>
        <w:tc>
          <w:tcPr>
            <w:tcW w:type="dxa" w:w="1296"/>
          </w:tcPr>
          <w:p>
            <w:r>
              <w:rPr>
                <w:sz w:val="19"/>
              </w:rPr>
              <w:t>B16002</w:t>
            </w:r>
          </w:p>
        </w:tc>
        <w:tc>
          <w:tcPr>
            <w:tcW w:type="dxa" w:w="5760"/>
          </w:tcPr>
          <w:p>
            <w:r>
              <w:rPr>
                <w:sz w:val="19"/>
              </w:rPr>
              <w:t>Share of households in which a language other than English is spoken at home (1 minus the share of English-only households).</w:t>
            </w:r>
          </w:p>
        </w:tc>
      </w:tr>
      <w:tr>
        <w:tc>
          <w:tcPr>
            <w:tcW w:type="dxa" w:w="2736"/>
          </w:tcPr>
          <w:p>
            <w:r>
              <w:rPr>
                <w:rFonts w:ascii="Consolas" w:hAnsi="Consolas"/>
                <w:sz w:val="19"/>
              </w:rPr>
              <w:t>share_ltd_english_hh</w:t>
            </w:r>
          </w:p>
        </w:tc>
        <w:tc>
          <w:tcPr>
            <w:tcW w:type="dxa" w:w="1296"/>
          </w:tcPr>
          <w:p>
            <w:r>
              <w:rPr>
                <w:sz w:val="19"/>
              </w:rPr>
              <w:t>B16002</w:t>
            </w:r>
          </w:p>
        </w:tc>
        <w:tc>
          <w:tcPr>
            <w:tcW w:type="dxa" w:w="5760"/>
          </w:tcPr>
          <w:p>
            <w:r>
              <w:rPr>
                <w:sz w:val="19"/>
              </w:rPr>
              <w:t>Share of limited-English-speaking households (formerly "linguistically isolated"): no member 14+ speaks only English or speaks English "very well".</w:t>
            </w:r>
          </w:p>
        </w:tc>
      </w:tr>
      <w:tr>
        <w:tc>
          <w:tcPr>
            <w:tcW w:type="dxa" w:w="2736"/>
          </w:tcPr>
          <w:p>
            <w:r>
              <w:rPr>
                <w:rFonts w:ascii="Consolas" w:hAnsi="Consolas"/>
                <w:sz w:val="19"/>
              </w:rPr>
              <w:t>poverty_rate</w:t>
            </w:r>
          </w:p>
        </w:tc>
        <w:tc>
          <w:tcPr>
            <w:tcW w:type="dxa" w:w="1296"/>
          </w:tcPr>
          <w:p>
            <w:r>
              <w:rPr>
                <w:sz w:val="19"/>
              </w:rPr>
              <w:t>B17001</w:t>
            </w:r>
          </w:p>
        </w:tc>
        <w:tc>
          <w:tcPr>
            <w:tcW w:type="dxa" w:w="5760"/>
          </w:tcPr>
          <w:p>
            <w:r>
              <w:rPr>
                <w:sz w:val="19"/>
              </w:rPr>
              <w:t>Persons below the federal poverty level divided by the poverty universe (population for whom poverty status is determined — not total population).</w:t>
            </w:r>
          </w:p>
        </w:tc>
      </w:tr>
      <w:tr>
        <w:tc>
          <w:tcPr>
            <w:tcW w:type="dxa" w:w="2736"/>
          </w:tcPr>
          <w:p>
            <w:r>
              <w:rPr>
                <w:rFonts w:ascii="Consolas" w:hAnsi="Consolas"/>
                <w:sz w:val="19"/>
              </w:rPr>
              <w:t>unemployment_rate</w:t>
            </w:r>
          </w:p>
        </w:tc>
        <w:tc>
          <w:tcPr>
            <w:tcW w:type="dxa" w:w="1296"/>
          </w:tcPr>
          <w:p>
            <w:r>
              <w:rPr>
                <w:sz w:val="19"/>
              </w:rPr>
              <w:t>B23025</w:t>
            </w:r>
          </w:p>
        </w:tc>
        <w:tc>
          <w:tcPr>
            <w:tcW w:type="dxa" w:w="5760"/>
          </w:tcPr>
          <w:p>
            <w:r>
              <w:rPr>
                <w:sz w:val="19"/>
              </w:rPr>
              <w:t>Unemployed persons divided by the civilian labor force, ages 16+. Reflects the 2008–2012 recession period (median ≈ 8.7%).</w:t>
            </w:r>
          </w:p>
        </w:tc>
      </w:tr>
      <w:tr>
        <w:tc>
          <w:tcPr>
            <w:tcW w:type="dxa" w:w="2736"/>
          </w:tcPr>
          <w:p>
            <w:r>
              <w:rPr>
                <w:rFonts w:ascii="Consolas" w:hAnsi="Consolas"/>
                <w:sz w:val="19"/>
              </w:rPr>
              <w:t>share_bachelor_plus</w:t>
            </w:r>
          </w:p>
        </w:tc>
        <w:tc>
          <w:tcPr>
            <w:tcW w:type="dxa" w:w="1296"/>
          </w:tcPr>
          <w:p>
            <w:r>
              <w:rPr>
                <w:sz w:val="19"/>
              </w:rPr>
              <w:t>B15003</w:t>
            </w:r>
          </w:p>
        </w:tc>
        <w:tc>
          <w:tcPr>
            <w:tcW w:type="dxa" w:w="5760"/>
          </w:tcPr>
          <w:p>
            <w:r>
              <w:rPr>
                <w:sz w:val="19"/>
              </w:rPr>
              <w:t>Share of population 25+ whose highest attainment is a Bachelor's, Master's, professional, or doctorate degree.</w:t>
            </w:r>
          </w:p>
        </w:tc>
      </w:tr>
      <w:tr>
        <w:tc>
          <w:tcPr>
            <w:tcW w:type="dxa" w:w="2736"/>
          </w:tcPr>
          <w:p>
            <w:r>
              <w:rPr>
                <w:rFonts w:ascii="Consolas" w:hAnsi="Consolas"/>
                <w:sz w:val="19"/>
              </w:rPr>
              <w:t>homeownership_rate</w:t>
            </w:r>
          </w:p>
        </w:tc>
        <w:tc>
          <w:tcPr>
            <w:tcW w:type="dxa" w:w="1296"/>
          </w:tcPr>
          <w:p>
            <w:r>
              <w:rPr>
                <w:sz w:val="19"/>
              </w:rPr>
              <w:t>B25003</w:t>
            </w:r>
          </w:p>
        </w:tc>
        <w:tc>
          <w:tcPr>
            <w:tcW w:type="dxa" w:w="5760"/>
          </w:tcPr>
          <w:p>
            <w:r>
              <w:rPr>
                <w:sz w:val="19"/>
              </w:rPr>
              <w:t>Owner-occupied housing units divided by all occupied housing units.</w:t>
            </w:r>
          </w:p>
        </w:tc>
      </w:tr>
      <w:tr>
        <w:tc>
          <w:tcPr>
            <w:tcW w:type="dxa" w:w="2736"/>
          </w:tcPr>
          <w:p>
            <w:r>
              <w:rPr>
                <w:rFonts w:ascii="Consolas" w:hAnsi="Consolas"/>
                <w:sz w:val="19"/>
              </w:rPr>
              <w:t>uninsured_rate</w:t>
            </w:r>
          </w:p>
        </w:tc>
        <w:tc>
          <w:tcPr>
            <w:tcW w:type="dxa" w:w="1296"/>
          </w:tcPr>
          <w:p>
            <w:r>
              <w:rPr>
                <w:sz w:val="19"/>
              </w:rPr>
              <w:t>B27001</w:t>
            </w:r>
          </w:p>
        </w:tc>
        <w:tc>
          <w:tcPr>
            <w:tcW w:type="dxa" w:w="5760"/>
          </w:tcPr>
          <w:p>
            <w:r>
              <w:rPr>
                <w:sz w:val="19"/>
              </w:rPr>
              <w:t>Persons with no health insurance coverage divided by the coverage universe (sum of 18 sex-by-age "no coverage" cells). Pre-ACA levels (median ≈ 14%).</w:t>
            </w:r>
          </w:p>
        </w:tc>
      </w:tr>
      <w:tr>
        <w:tc>
          <w:tcPr>
            <w:tcW w:type="dxa" w:w="2736"/>
          </w:tcPr>
          <w:p>
            <w:r>
              <w:rPr>
                <w:rFonts w:ascii="Consolas" w:hAnsi="Consolas"/>
                <w:sz w:val="19"/>
              </w:rPr>
              <w:t>median_income_approx</w:t>
            </w:r>
          </w:p>
        </w:tc>
        <w:tc>
          <w:tcPr>
            <w:tcW w:type="dxa" w:w="1296"/>
          </w:tcPr>
          <w:p>
            <w:r>
              <w:rPr>
                <w:sz w:val="19"/>
              </w:rPr>
              <w:t>B19013</w:t>
            </w:r>
          </w:p>
        </w:tc>
        <w:tc>
          <w:tcPr>
            <w:tcW w:type="dxa" w:w="5760"/>
          </w:tcPr>
          <w:p>
            <w:r>
              <w:rPr>
                <w:sz w:val="19"/>
              </w:rPr>
              <w:t>Approximate median household income (USD), household-weighted average of ZCTA medians.</w:t>
            </w:r>
          </w:p>
        </w:tc>
      </w:tr>
      <w:tr>
        <w:tc>
          <w:tcPr>
            <w:tcW w:type="dxa" w:w="2736"/>
          </w:tcPr>
          <w:p>
            <w:r>
              <w:rPr>
                <w:rFonts w:ascii="Consolas" w:hAnsi="Consolas"/>
                <w:sz w:val="19"/>
              </w:rPr>
              <w:t>median_home_value_approx</w:t>
            </w:r>
          </w:p>
        </w:tc>
        <w:tc>
          <w:tcPr>
            <w:tcW w:type="dxa" w:w="1296"/>
          </w:tcPr>
          <w:p>
            <w:r>
              <w:rPr>
                <w:sz w:val="19"/>
              </w:rPr>
              <w:t>B25077</w:t>
            </w:r>
          </w:p>
        </w:tc>
        <w:tc>
          <w:tcPr>
            <w:tcW w:type="dxa" w:w="5760"/>
          </w:tcPr>
          <w:p>
            <w:r>
              <w:rPr>
                <w:sz w:val="19"/>
              </w:rPr>
              <w:t>Approximate median value of owner-occupied homes (USD), weighted by owner-occupied units. ZCTA medians are top-coded at $1,000,001 ("$1,000,000+"), so values for the most expensive areas are biased downward.</w:t>
            </w:r>
          </w:p>
        </w:tc>
      </w:tr>
      <w:tr>
        <w:tc>
          <w:tcPr>
            <w:tcW w:type="dxa" w:w="2736"/>
          </w:tcPr>
          <w:p>
            <w:r>
              <w:rPr>
                <w:rFonts w:ascii="Consolas" w:hAnsi="Consolas"/>
                <w:sz w:val="19"/>
              </w:rPr>
              <w:t>total_pop</w:t>
            </w:r>
          </w:p>
        </w:tc>
        <w:tc>
          <w:tcPr>
            <w:tcW w:type="dxa" w:w="1296"/>
          </w:tcPr>
          <w:p>
            <w:r>
              <w:rPr>
                <w:sz w:val="19"/>
              </w:rPr>
              <w:t>B01003</w:t>
            </w:r>
          </w:p>
        </w:tc>
        <w:tc>
          <w:tcPr>
            <w:tcW w:type="dxa" w:w="5760"/>
          </w:tcPr>
          <w:p>
            <w:r>
              <w:rPr>
                <w:sz w:val="19"/>
              </w:rPr>
              <w:t>Total population (sum over ZCTAs). Useful as an analysis weight or size control.</w:t>
            </w:r>
          </w:p>
        </w:tc>
      </w:tr>
      <w:tr>
        <w:tc>
          <w:tcPr>
            <w:tcW w:type="dxa" w:w="2736"/>
          </w:tcPr>
          <w:p>
            <w:r>
              <w:rPr>
                <w:rFonts w:ascii="Consolas" w:hAnsi="Consolas"/>
                <w:sz w:val="19"/>
              </w:rPr>
              <w:t>total_households</w:t>
            </w:r>
          </w:p>
        </w:tc>
        <w:tc>
          <w:tcPr>
            <w:tcW w:type="dxa" w:w="1296"/>
          </w:tcPr>
          <w:p>
            <w:r>
              <w:rPr>
                <w:sz w:val="19"/>
              </w:rPr>
              <w:t>B11001</w:t>
            </w:r>
          </w:p>
        </w:tc>
        <w:tc>
          <w:tcPr>
            <w:tcW w:type="dxa" w:w="5760"/>
          </w:tcPr>
          <w:p>
            <w:r>
              <w:rPr>
                <w:sz w:val="19"/>
              </w:rPr>
              <w:t>Total number of households (sum over ZCTAs).</w:t>
            </w:r>
          </w:p>
        </w:tc>
      </w:tr>
    </w:tbl>
    <w:p>
      <w:pPr>
        <w:pStyle w:val="Heading1"/>
      </w:pPr>
      <w:r>
        <w:t>4. Notes and Caveats</w:t>
      </w:r>
    </w:p>
    <w:p>
      <w:pPr>
        <w:pStyle w:val="ListBullet"/>
      </w:pPr>
      <w:r>
        <w:t>Table substitutions due to the 2012 vintage: language uses B16002 (renamed C16002 in 2016, identical structure); health insurance uses B27001 (B27010 does not exist in the 2012 5-year release); broadband access (B28002) is not available before the 2017 release because the internet question entered the ACS only in 2013, and was therefore omitted.</w:t>
      </w:r>
    </w:p>
    <w:p>
      <w:pPr>
        <w:pStyle w:val="ListBullet"/>
      </w:pPr>
      <w:r>
        <w:t>ZIP3 aggregates of ZCTA data are an approximation: ZCTAs approximate USPS ZIP codes, and the household-weighted average of medians is not an exact median. Both are standard practice for area-level features.</w:t>
      </w:r>
    </w:p>
    <w:p>
      <w:pPr>
        <w:pStyle w:val="ListBullet"/>
      </w:pPr>
      <w:r>
        <w:t>ACS 5-year estimates are survey-based and carry sampling error, which is larger for small-population ZCTAs; aggregation to ZIP3 substantially reduces this noise.</w:t>
      </w:r>
    </w:p>
    <w:p>
      <w:pPr>
        <w:pStyle w:val="ListBullet"/>
      </w:pPr>
      <w:r>
        <w:t>Companion files in the same folder: zip3_counts_from_lc.csv (loan counts per ZIP3 in the filtered sample) and missing_zip3_in_panel.csv (the 14 ZIP3s without census data).</w:t>
      </w:r>
    </w:p>
    <w:p>
      <w:pPr>
        <w:pStyle w:val="ListBullet"/>
      </w:pPr>
      <w:r>
        <w:t>The table is produced by census_final_data/ZIP3_code_API.ipynb (requires the CENSUS_API_KEY environment variable).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