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hint="cs"/>
          <w:rtl/>
          <w:lang w:bidi="he-IL"/>
        </w:rPr>
        <w:br/>
      </w:r>
    </w:p>
    <w:p>
      <w:r>
        <w:rPr>
          <w:rFonts w:hint="cs"/>
          <w:rtl/>
          <w:lang w:bidi="he-IL"/>
        </w:rPr>
        <w:br/>
      </w:r>
    </w:p>
    <w:p>
      <w:r>
        <w:rPr>
          <w:rFonts w:hint="cs"/>
          <w:rtl/>
          <w:lang w:bidi="he-IL"/>
        </w:rPr>
        <w:br/>
      </w:r>
    </w:p>
    <w:p>
      <w:pPr>
        <w:bidi w:val="1"/>
        <w:jc w:val="center"/>
      </w:pPr>
      <w:r>
        <w:rPr>
          <w:rFonts w:hint="cs"/>
          <w:rtl/>
          <w:lang w:bidi="he-IL"/>
          <w:sz w:val="72"/>
          <w:szCs w:val="72"/>
        </w:rPr>
        <w:t xml:space="preserve">דו"ח תקופתי - </w:t>
      </w:r>
      <w:r>
        <w:rPr>
          <w:rFonts w:hint="cs"/>
          <w:sz w:val="72"/>
          <w:szCs w:val="72"/>
        </w:rPr>
        <w:t xml:space="preserve">isil.co.il</w:t>
      </w:r>
      <w:r>
        <w:rPr>
          <w:rFonts w:hint="cs"/>
          <w:rtl/>
          <w:lang w:bidi="he-IL"/>
          <w:sz w:val="72"/>
          <w:szCs w:val="72"/>
        </w:rPr>
        <w:t xml:space="preserve"> ספטמבר </w:t>
      </w:r>
      <w:r>
        <w:rPr>
          <w:rFonts w:hint="cs"/>
          <w:sz w:val="72"/>
          <w:szCs w:val="72"/>
        </w:rPr>
        <w:t xml:space="preserve">2025</w:t>
      </w:r>
    </w:p>
    <w:p>
      <w:r>
        <w:rPr>
          <w:rFonts w:hint="cs"/>
          <w:rtl/>
          <w:lang w:bidi="he-IL"/>
        </w:rPr>
        <w:br/>
      </w:r>
    </w:p>
    <w:p>
      <w:r>
        <w:rPr>
          <w:rFonts w:hint="cs"/>
          <w:rtl/>
          <w:lang w:bidi="he-IL"/>
        </w:rPr>
        <w:br/>
      </w:r>
    </w:p>
    <w:p>
      <w:r>
        <w:rPr>
          <w:rFonts w:hint="cs"/>
          <w:rtl/>
          <w:lang w:bidi="he-IL"/>
        </w:rPr>
        <w:br/>
      </w:r>
    </w:p>
    <w:p>
      <w:pPr>
        <w:jc w:val="center"/>
      </w:pPr>
      <w:r>
        <w:rPr>
          <w:noProof/>
          <w:lang w:bidi="he-IL"/>
        </w:rPr>
        <w:drawing>
          <wp:inline distT="0" distB="0" distL="0" distR="0">
            <wp:extent cx="2171700" cy="762000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1"/>
      </w:pPr>
      <w:r>
        <w:rPr>
          <w:rFonts w:hint="cs"/>
          <w:rtl/>
          <w:lang w:bidi="he-IL"/>
        </w:rPr>
        <w:t xml:space="preserve">צפייה בקישורים</w:t>
      </w:r>
    </w:p>
    <w:p>
      <w:r>
        <w:rPr>
          <w:rFonts w:hint="cs"/>
        </w:rPr>
        <w:t xml:space="preserve">01</w:t>
      </w:r>
      <w:r>
        <w:rPr>
          <w:rFonts w:hint="cs"/>
          <w:rtl/>
          <w:lang w:bidi="he-IL"/>
        </w:rPr>
        <w:t xml:space="preserve"> ספטמבר </w:t>
      </w:r>
      <w:r>
        <w:rPr>
          <w:rFonts w:hint="cs"/>
        </w:rPr>
        <w:t xml:space="preserve">2025</w:t>
      </w:r>
      <w:r>
        <w:rPr>
          <w:rFonts w:hint="cs"/>
          <w:rtl/>
          <w:lang w:bidi="he-IL"/>
        </w:rPr>
        <w:t xml:space="preserve"> עד </w:t>
      </w:r>
      <w:r>
        <w:rPr>
          <w:rFonts w:hint="cs"/>
        </w:rPr>
        <w:t xml:space="preserve">30</w:t>
      </w:r>
      <w:r>
        <w:rPr>
          <w:rFonts w:hint="cs"/>
          <w:rtl/>
          <w:lang w:bidi="he-IL"/>
        </w:rPr>
        <w:t xml:space="preserve"> ספטמבר </w:t>
      </w:r>
      <w:r>
        <w:rPr>
          <w:rFonts w:hint="cs"/>
        </w:rPr>
        <w:t xml:space="preserve">2025</w:t>
      </w:r>
    </w:p>
    <w:p>
      <w:pPr>
        <w:pStyle w:val="2"/>
      </w:pPr>
      <w:r>
        <w:rPr>
          <w:rFonts w:hint="cs"/>
          <w:rtl/>
          <w:lang w:bidi="he-IL"/>
        </w:rPr>
        <w:t xml:space="preserve">צפייה בקישורים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תאריך הוספה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דף מקשר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טקסט עוגן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קישור אל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28/09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15" w:history="1">
              <w:r>
                <w:rPr>
                  <w:rFonts w:hint="cs"/>
                  <w:rStyle w:val="Hyperlink"/>
                </w:rPr>
                <w:t xml:space="preserve">https://www.lawnjustice.co.il/VACUUM-PUMPS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-מנוע-שקט-של-תעשיות-מתקדמות</w:t>
              </w:r>
            </w:hyperlink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VACUUM PUMPS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19" w:history="1">
              <w:r>
                <w:rPr>
                  <w:rFonts w:hint="cs"/>
                  <w:rStyle w:val="Hyperlink"/>
                </w:rPr>
                <w:t xml:space="preserve">https://www.isil.co.il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28/09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16" w:history="1">
              <w:r>
                <w:rPr>
                  <w:rFonts w:hint="cs"/>
                  <w:rStyle w:val="Hyperlink"/>
                </w:rPr>
                <w:t xml:space="preserve">https://www.painrelief.org.il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/דיסאינטגרציה-משמעותה-וחשיבותה-בתעשייה-המודרנית</w:t>
              </w:r>
            </w:hyperlink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דיסאינטגרציה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20" w:history="1">
              <w:r>
                <w:rPr>
                  <w:rFonts w:hint="cs"/>
                  <w:rStyle w:val="Hyperlink"/>
                </w:rPr>
                <w:t xml:space="preserve">https://www.isil.co.il/Disintegration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03/09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17" w:history="1">
              <w:r>
                <w:rPr>
                  <w:rFonts w:hint="cs"/>
                  <w:rStyle w:val="Hyperlink"/>
                </w:rPr>
                <w:t xml:space="preserve">https://www.lawnjustice.co.il/GC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-כרומטוגרפיית-גז-הטכנולוגיה-שמובילה-את-תחום-ה...</w:t>
              </w:r>
            </w:hyperlink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GC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21" w:history="1">
              <w:r>
                <w:rPr>
                  <w:rFonts w:hint="cs"/>
                  <w:rStyle w:val="Hyperlink"/>
                </w:rPr>
                <w:t xml:space="preserve">https://www.isil.co.il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01/09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18" w:history="1">
              <w:r>
                <w:rPr>
                  <w:rFonts w:hint="cs"/>
                  <w:rStyle w:val="Hyperlink"/>
                </w:rPr>
                <w:t xml:space="preserve">https://www.painrelief.org.il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/גז-כרומטוגרף-טכנולוגיה-פורצת-דרך-לניתוח-חומרים</w:t>
              </w:r>
            </w:hyperlink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גז כרומטוגרף גז כרומטוגרף</w:t>
            </w:r>
          </w:p>
        </w:tc>
        <w:tc>
          <w:tcPr>
            <w:tcW w:w="0" w:type="dxa"/>
          </w:tcPr>
          <w:p>
            <w:pPr>
              <w:bidi w:val="0"/>
            </w:pPr>
            <w:hyperlink r:id="rId22" w:history="1">
              <w:r>
                <w:rPr>
                  <w:rFonts w:hint="cs"/>
                  <w:rStyle w:val="Hyperlink"/>
                </w:rPr>
                <w:t xml:space="preserve">https://www.isil.co.il/Gas-Chromatography-GC</w:t>
              </w:r>
            </w:hyperlink>
          </w:p>
        </w:tc>
      </w:tr>
    </w:tbl>
    <w:p>
      <w:r>
        <w:rPr>
          <w:rFonts w:hint="cs"/>
          <w:rtl/>
          <w:lang w:bidi="he-IL"/>
        </w:rPr>
        <w:t xml:space="preserve">פעולות שוטפות </w:t>
      </w:r>
      <w:r>
        <w:rPr>
          <w:rFonts w:hint="cs"/>
          <w:rtl/>
          <w:lang w:bidi="he-IL"/>
        </w:rPr>
        <w:br/>
      </w:r>
      <w:r>
        <w:rPr>
          <w:rFonts w:hint="cs"/>
          <w:rtl/>
          <w:lang w:bidi="he-IL"/>
        </w:rPr>
        <w:t xml:space="preserve">מידי חודש מבוצעות פעולות בדיקה ובקרה הכוללות:</w:t>
      </w:r>
      <w:r>
        <w:rPr>
          <w:rFonts w:hint="cs"/>
          <w:rtl/>
          <w:lang w:bidi="he-IL"/>
        </w:rPr>
        <w:br/>
      </w:r>
      <w:r>
        <w:rPr>
          <w:rFonts w:hint="cs"/>
        </w:rPr>
        <w:t xml:space="preserve">•</w:t>
      </w:r>
      <w:r>
        <w:rPr>
          <w:rFonts w:hint="cs"/>
          <w:rtl/>
          <w:lang w:bidi="he-IL"/>
        </w:rPr>
        <w:t xml:space="preserve"> בדיקות כפילות תוכן</w:t>
      </w:r>
      <w:r>
        <w:rPr>
          <w:rFonts w:hint="cs"/>
          <w:rtl/>
          <w:lang w:bidi="he-IL"/>
        </w:rPr>
        <w:br/>
      </w:r>
      <w:r>
        <w:rPr>
          <w:rFonts w:hint="cs"/>
        </w:rPr>
        <w:t xml:space="preserve">•</w:t>
      </w:r>
      <w:r>
        <w:rPr>
          <w:rFonts w:hint="cs"/>
          <w:rtl/>
          <w:lang w:bidi="he-IL"/>
        </w:rPr>
        <w:t xml:space="preserve"> בדיקות תקינות קוד</w:t>
      </w:r>
      <w:r>
        <w:rPr>
          <w:rFonts w:hint="cs"/>
          <w:rtl/>
          <w:lang w:bidi="he-IL"/>
        </w:rPr>
        <w:br/>
      </w:r>
      <w:r>
        <w:rPr>
          <w:rFonts w:hint="cs"/>
        </w:rPr>
        <w:t xml:space="preserve">•</w:t>
      </w:r>
      <w:r>
        <w:rPr>
          <w:rFonts w:hint="cs"/>
          <w:rtl/>
          <w:lang w:bidi="he-IL"/>
        </w:rPr>
        <w:t xml:space="preserve"> בדיקות מהירות וזמינות שרת</w:t>
      </w:r>
      <w:r>
        <w:rPr>
          <w:rFonts w:hint="cs"/>
          <w:rtl/>
          <w:lang w:bidi="he-IL"/>
        </w:rPr>
        <w:br/>
      </w:r>
      <w:r>
        <w:rPr>
          <w:rFonts w:hint="cs"/>
        </w:rPr>
        <w:t xml:space="preserve">•</w:t>
      </w:r>
      <w:r>
        <w:rPr>
          <w:rFonts w:hint="cs"/>
          <w:rtl/>
          <w:lang w:bidi="he-IL"/>
        </w:rPr>
        <w:t xml:space="preserve"> בדיקות תקינות אופטימיזציה כולל </w:t>
      </w:r>
      <w:r>
        <w:rPr>
          <w:rFonts w:hint="cs"/>
        </w:rPr>
        <w:t xml:space="preserve">TITLE, H1, H2, META</w:t>
      </w:r>
      <w:r>
        <w:rPr>
          <w:rFonts w:hint="cs"/>
          <w:rtl/>
          <w:lang w:bidi="he-IL"/>
        </w:rPr>
        <w:br/>
      </w:r>
      <w:r>
        <w:rPr>
          <w:rFonts w:hint="cs"/>
        </w:rPr>
        <w:t xml:space="preserve">•</w:t>
      </w:r>
      <w:r>
        <w:rPr>
          <w:rFonts w:hint="cs"/>
          <w:rtl/>
          <w:lang w:bidi="he-IL"/>
        </w:rPr>
        <w:t xml:space="preserve"> בדיקות תקינות לינקים נכנסים</w:t>
      </w:r>
      <w:r>
        <w:rPr>
          <w:rFonts w:hint="cs"/>
          <w:rtl/>
          <w:lang w:bidi="he-IL"/>
        </w:rPr>
        <w:br/>
      </w:r>
      <w:r>
        <w:rPr>
          <w:rFonts w:hint="cs"/>
        </w:rPr>
        <w:t xml:space="preserve">•</w:t>
      </w:r>
      <w:r>
        <w:rPr>
          <w:rFonts w:hint="cs"/>
          <w:rtl/>
          <w:lang w:bidi="he-IL"/>
        </w:rPr>
        <w:t xml:space="preserve"> בדיקת מיקומי ביטויי המפתח </w:t>
      </w:r>
      <w:r>
        <w:rPr>
          <w:rFonts w:hint="cs"/>
          <w:rtl/>
          <w:lang w:bidi="he-IL"/>
        </w:rPr>
        <w:br/>
      </w:r>
      <w:r>
        <w:rPr>
          <w:rFonts w:hint="cs"/>
        </w:rPr>
        <w:t xml:space="preserve">•</w:t>
      </w:r>
      <w:r>
        <w:rPr>
          <w:rFonts w:hint="cs"/>
          <w:rtl/>
          <w:lang w:bidi="he-IL"/>
        </w:rPr>
        <w:t xml:space="preserve"> בדיקת התנהגות גולשים באתר הנייח ובמובייל</w:t>
      </w:r>
      <w:r>
        <w:rPr>
          <w:rFonts w:hint="cs"/>
          <w:rtl/>
          <w:lang w:bidi="he-IL"/>
        </w:rPr>
        <w:br/>
      </w:r>
      <w:r>
        <w:rPr>
          <w:rFonts w:hint="cs"/>
          <w:rtl/>
          <w:lang w:bidi="he-IL"/>
        </w:rPr>
        <w:t xml:space="preserve">לצורך בקרה על תקינות האתר והתאמת אופטימיזציה לגוגל, שימוש בכלי בקרה אנליטיקס, פרוג, </w:t>
      </w:r>
      <w:r>
        <w:rPr>
          <w:rFonts w:hint="cs"/>
        </w:rPr>
        <w:t xml:space="preserve">A1</w:t>
      </w:r>
      <w:r>
        <w:rPr>
          <w:rFonts w:hint="cs"/>
          <w:rtl/>
          <w:lang w:bidi="he-IL"/>
        </w:rPr>
        <w:t xml:space="preserve">, זפו, </w:t>
      </w:r>
      <w:r>
        <w:rPr>
          <w:rFonts w:hint="cs"/>
        </w:rPr>
        <w:t xml:space="preserve">console, SEOQUAKE</w:t>
      </w:r>
      <w:r>
        <w:rPr>
          <w:rFonts w:hint="cs"/>
          <w:rtl/>
          <w:lang w:bidi="he-IL"/>
        </w:rPr>
        <w:t xml:space="preserve"> , מג'סטיק, </w:t>
      </w:r>
      <w:r>
        <w:rPr>
          <w:rFonts w:hint="cs"/>
        </w:rPr>
        <w:t xml:space="preserve">HOTJAR</w:t>
      </w:r>
      <w:r>
        <w:rPr>
          <w:rFonts w:hint="cs"/>
          <w:rtl/>
          <w:lang w:bidi="he-IL"/>
        </w:rPr>
        <w:t xml:space="preserve">, וכלי עבודה נוספים ייעודיים.</w:t>
      </w:r>
      <w:r>
        <w:rPr>
          <w:rFonts w:hint="cs"/>
          <w:rtl/>
          <w:lang w:bidi="he-IL"/>
        </w:rPr>
        <w:br/>
      </w:r>
      <w:r>
        <w:rPr>
          <w:rFonts w:hint="cs"/>
          <w:rtl/>
          <w:lang w:bidi="he-IL"/>
        </w:rPr>
        <w:br/>
      </w:r>
      <w:r>
        <w:rPr>
          <w:rFonts w:hint="cs"/>
          <w:rtl/>
          <w:lang w:bidi="he-IL"/>
        </w:rPr>
        <w:br/>
      </w:r>
      <w:r>
        <w:rPr>
          <w:rFonts w:hint="cs"/>
          <w:rtl/>
          <w:lang w:bidi="he-IL"/>
        </w:rPr>
        <w:br/>
      </w:r>
      <w:r>
        <w:rPr>
          <w:rFonts w:hint="cs"/>
          <w:rtl/>
          <w:lang w:bidi="he-IL"/>
        </w:rPr>
        <w:t xml:space="preserve">בעקבות פעולות הקידום:</w:t>
      </w:r>
      <w:r>
        <w:rPr>
          <w:rFonts w:hint="cs"/>
          <w:rtl/>
          <w:lang w:bidi="he-IL"/>
        </w:rPr>
        <w:br/>
      </w:r>
      <w:r>
        <w:rPr>
          <w:rFonts w:hint="cs"/>
          <w:rtl/>
          <w:lang w:bidi="he-IL"/>
        </w:rPr>
        <w:t xml:space="preserve">התקדמנו במיקומי מילות המפתח הבאות:</w:t>
      </w:r>
    </w:p>
    <w:p>
      <w:pPr>
        <w:pStyle w:val="1"/>
      </w:pPr>
      <w:r>
        <w:rPr>
          <w:rFonts w:hint="cs"/>
          <w:rtl/>
          <w:lang w:bidi="he-IL"/>
        </w:rPr>
        <w:t xml:space="preserve">מגמות תנועה</w:t>
      </w:r>
    </w:p>
    <w:p>
      <w:r>
        <w:rPr>
          <w:rFonts w:hint="cs"/>
        </w:rPr>
        <w:t xml:space="preserve">01</w:t>
      </w:r>
      <w:r>
        <w:rPr>
          <w:rFonts w:hint="cs"/>
          <w:rtl/>
          <w:lang w:bidi="he-IL"/>
        </w:rPr>
        <w:t xml:space="preserve"> ספטמבר </w:t>
      </w:r>
      <w:r>
        <w:rPr>
          <w:rFonts w:hint="cs"/>
        </w:rPr>
        <w:t xml:space="preserve">2025</w:t>
      </w:r>
      <w:r>
        <w:rPr>
          <w:rFonts w:hint="cs"/>
          <w:rtl/>
          <w:lang w:bidi="he-IL"/>
        </w:rPr>
        <w:t xml:space="preserve"> עד </w:t>
      </w:r>
      <w:r>
        <w:rPr>
          <w:rFonts w:hint="cs"/>
        </w:rPr>
        <w:t xml:space="preserve">30</w:t>
      </w:r>
      <w:r>
        <w:rPr>
          <w:rFonts w:hint="cs"/>
          <w:rtl/>
          <w:lang w:bidi="he-IL"/>
        </w:rPr>
        <w:t xml:space="preserve"> ספטמבר </w:t>
      </w:r>
      <w:r>
        <w:rPr>
          <w:rFonts w:hint="cs"/>
        </w:rPr>
        <w:t xml:space="preserve">2025</w:t>
      </w:r>
    </w:p>
    <w:p>
      <w:pPr>
        <w:pStyle w:val="3"/>
      </w:pPr>
      <w:r>
        <w:rPr>
          <w:rFonts w:hint="cs"/>
          <w:rtl/>
          <w:lang w:bidi="he-IL"/>
        </w:rPr>
        <w:t xml:space="preserve">תנועה כוללת - פעילויות באתר</w:t>
      </w:r>
    </w:p>
    <w:p>
      <w:r>
        <w:rPr>
          <w:noProof/>
          <w:lang w:bidi="he-IL"/>
        </w:rPr>
        <w:drawing>
          <wp:inline distT="0" distB="0" distL="0" distR="0">
            <wp:extent cx="6534150" cy="3048000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cs"/>
          <w:rtl/>
          <w:lang w:bidi="he-IL"/>
        </w:rPr>
        <w:t xml:space="preserve">סיכום - 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667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511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76.61%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1,334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00:00:29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2.00</w:t>
            </w:r>
          </w:p>
        </w:tc>
      </w:tr>
    </w:tbl>
    <w:p>
      <w:r>
        <w:br w:type="page"/>
      </w:r>
    </w:p>
    <w:p>
      <w:pPr>
        <w:pStyle w:val="1"/>
      </w:pPr>
      <w:r>
        <w:rPr>
          <w:rFonts w:hint="cs"/>
          <w:rtl/>
          <w:lang w:bidi="he-IL"/>
        </w:rPr>
        <w:t xml:space="preserve">השוואה חודשית</w:t>
      </w:r>
    </w:p>
    <w:p>
      <w:pPr>
        <w:pStyle w:val="2"/>
      </w:pPr>
      <w:r>
        <w:rPr>
          <w:rFonts w:hint="cs"/>
          <w:rtl/>
          <w:lang w:bidi="he-IL"/>
        </w:rPr>
        <w:t xml:space="preserve">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885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1,572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1,197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667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762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783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1,270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572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2,328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2,139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3,741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4,416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3,244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1,334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680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698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1,109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511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00:29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156</w:t>
            </w:r>
            <w:r>
              <w:rPr>
                <w:rtl/>
              </w:rPr>
              <w:br/>
            </w:r>
          </w:p>
        </w:tc>
      </w:tr>
    </w:tbl>
    <w:p>
      <w:r>
        <w:br w:type="page"/>
      </w:r>
    </w:p>
    <w:p>
      <w:pPr>
        <w:pStyle w:val="1"/>
      </w:pPr>
      <w:r>
        <w:rPr>
          <w:rFonts w:hint="cs"/>
          <w:rtl/>
          <w:lang w:bidi="he-IL"/>
        </w:rPr>
        <w:t xml:space="preserve">השוואה חודשית</w:t>
      </w:r>
    </w:p>
    <w:p>
      <w:pPr>
        <w:pStyle w:val="2"/>
      </w:pPr>
      <w:r>
        <w:rPr>
          <w:rFonts w:hint="cs"/>
          <w:rtl/>
          <w:lang w:bidi="he-IL"/>
        </w:rPr>
        <w:t xml:space="preserve">תנועה לא ממומנת ממנועי חיפוש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491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392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602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502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1,603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1,438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2,808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2,788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2,182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648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495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405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5.4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01:02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86</w:t>
            </w:r>
            <w:r>
              <w:rPr>
                <w:rtl/>
              </w:rPr>
              <w:br/>
            </w:r>
          </w:p>
        </w:tc>
      </w:tr>
    </w:tbl>
    <w:p>
      <w:r>
        <w:br w:type="page"/>
      </w:r>
    </w:p>
    <w:p>
      <w:pPr>
        <w:pStyle w:val="1"/>
      </w:pPr>
      <w:r>
        <w:rPr>
          <w:rFonts w:hint="cs"/>
          <w:rtl/>
          <w:lang w:bidi="he-IL"/>
        </w:rPr>
        <w:t xml:space="preserve">היסטוריית מיקומים</w:t>
      </w:r>
    </w:p>
    <w:p>
      <w:r>
        <w:rPr>
          <w:rFonts w:hint="cs"/>
        </w:rPr>
        <w:t xml:space="preserve">02</w:t>
      </w:r>
      <w:r>
        <w:rPr>
          <w:rFonts w:hint="cs"/>
          <w:rtl/>
          <w:lang w:bidi="he-IL"/>
        </w:rPr>
        <w:t xml:space="preserve"> אפריל </w:t>
      </w:r>
      <w:r>
        <w:rPr>
          <w:rFonts w:hint="cs"/>
        </w:rPr>
        <w:t xml:space="preserve">2025</w:t>
      </w:r>
      <w:r>
        <w:rPr>
          <w:rFonts w:hint="cs"/>
          <w:rtl/>
          <w:lang w:bidi="he-IL"/>
        </w:rPr>
        <w:t xml:space="preserve"> עד </w:t>
      </w:r>
      <w:r>
        <w:rPr>
          <w:rFonts w:hint="cs"/>
        </w:rPr>
        <w:t xml:space="preserve">02</w:t>
      </w:r>
      <w:r>
        <w:rPr>
          <w:rFonts w:hint="cs"/>
          <w:rtl/>
          <w:lang w:bidi="he-IL"/>
        </w:rPr>
        <w:t xml:space="preserve"> אוקטובר </w:t>
      </w:r>
      <w:r>
        <w:rPr>
          <w:rFonts w:hint="cs"/>
        </w:rPr>
        <w:t xml:space="preserve">2025</w:t>
      </w:r>
    </w:p>
    <w:p>
      <w:pPr>
        <w:pStyle w:val="2"/>
      </w:pPr>
      <w:r>
        <w:rPr>
          <w:rFonts w:hint="cs"/>
          <w:rtl/>
          <w:lang w:bidi="he-IL"/>
        </w:rPr>
        <w:t xml:space="preserve">ביטויים בקידום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מילת מפתח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חיפושים מקומיים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אוקטובר </w:t>
            </w:r>
            <w:r>
              <w:rPr>
                <w:rFonts w:hint="cs"/>
              </w:rPr>
              <w:t xml:space="preserve">01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Dissolution bath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Acid Purifier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radiologic monitor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Fat Analysis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Atomic Absorption Spectroscopy (AAS) systems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Dissolution Accessories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TG-IR-GC/MS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מדידת מתכות </w:t>
            </w:r>
            <w:r>
              <w:rPr>
                <w:rFonts w:hint="cs"/>
              </w:rPr>
              <w:t xml:space="preserve">NMR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מכשור מדעי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TMA 4000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STA 8000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DSC 6000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Analytical equipment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TOC vials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HPLC COLUMN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Pyris STA 9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Thermo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Pyris TGA 9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LC 300 Analytical HPLC / UHPLC Systems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Clarus 690 GC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GC 2400 Platform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PerkinElmer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Perkin Elmer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אנליטי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 MS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ICP-MS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Pyris DSC 9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GCMS 2400 System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Analytical instrumentation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Bench NMR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VIALS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גז כרומטוגרף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כרומטוגרפיה נוזלית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ויילים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הרצת ג'לים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Light obscuration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דיסאינטגרציה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VACUUM PUMPS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Finneran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GC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1,300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PCR ISRAEL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בדיקת שומן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מקרר 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כפפות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1,900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ביולוגיה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1,300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תהודה מגנטית גרעינית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AJ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dosimetry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Filtration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אנטיגן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מקפיא מינוס </w:t>
            </w:r>
            <w:r>
              <w:rPr>
                <w:rFonts w:hint="cs"/>
              </w:rPr>
              <w:t xml:space="preserve">80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מקפיא עמוק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HPLC Preparative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 OES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ICP-OES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LEAK DETECTOR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Manifold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480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TLC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1,300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בדיקת חלבון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מבחנות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מחולל מימן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משאבות וואקום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מקפיאים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מקפיא -</w:t>
            </w:r>
            <w:r>
              <w:rPr>
                <w:rFonts w:hint="cs"/>
              </w:rPr>
              <w:t xml:space="preserve">80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מונה חלקיקים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כימיה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1,300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חלוקים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480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ביולוגיה מולקולרית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בדיקות אנטיגן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בדיקות מהירות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מקרר מעבדתי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GL45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COLUMNS</w:t>
            </w:r>
            <w:r>
              <w:rPr>
                <w:rFonts w:hint="cs"/>
                <w:rtl/>
                <w:lang w:bidi="he-IL"/>
              </w:rPr>
              <w:t xml:space="preserve"> קולונות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Brainlab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Linear accelerator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Liquid Automation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Particle sizer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phantom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1,900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PSS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SGE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Spectrophotometer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TIPS</w:t>
            </w:r>
            <w:r>
              <w:rPr>
                <w:rFonts w:hint="cs"/>
                <w:rtl/>
                <w:lang w:bidi="he-IL"/>
              </w:rPr>
              <w:t xml:space="preserve"> טיפים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TOC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TUBES</w:t>
            </w:r>
            <w:r>
              <w:rPr>
                <w:rFonts w:hint="cs"/>
                <w:rtl/>
                <w:lang w:bidi="he-IL"/>
              </w:rPr>
              <w:t xml:space="preserve"> מבחנות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TURBOMOLECULAR PUMP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Ultra low freezer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ultra-low freezer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VACUUM GAUGES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לטקס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1,000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HPLC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 Torch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ניטריל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HALO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1,300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מגן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DNA RNA kit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GATE VALVE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ספקטרופוטומטר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מקררים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3,600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LC/MS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קורונה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12,100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סרבלים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פרקין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מוצרים למעבדות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מוצרי מעבדות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מוצרים למעבדה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מוצרי 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מכשירם מעבדות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מכשירים למעבדות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מכשירים 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מכשירים למעבדה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מתכלים למעבדה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ייבוא ושיווק ציוד למעבדות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ייבוא ושיווק ציוד למעבדה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מעבדות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TG-GC/MS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Digital Controller and Intelligent Transfer Line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TGA 8000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FTIR spectrometer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DMA 8000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TG-IR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ICP-MS Instruments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Fluorescence Spectroscopy (FL</w:t>
            </w:r>
            <w:r>
              <w:rPr>
                <w:rFonts w:hint="cs"/>
                <w:rtl/>
                <w:lang w:bidi="he-IL"/>
              </w:rPr>
              <w:t xml:space="preserve">)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ICP-OES Instruments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פרקין אלמר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מתכלים למעבדות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מתכלים מעבדה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מתכלים מעבדות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יבוא ושיווק ציוד למעבדות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יבוא ושיווק ציוד למעבדה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למעבדות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למעבדה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</w:tbl>
    <w:p>
      <w:r>
        <w:br w:type="page"/>
      </w:r>
    </w:p>
    <w:p>
      <w:pPr>
        <w:pStyle w:val="1"/>
      </w:pPr>
      <w:r>
        <w:rPr>
          <w:rFonts w:hint="cs"/>
          <w:rtl/>
          <w:lang w:bidi="he-IL"/>
        </w:rPr>
        <w:t xml:space="preserve">ביטויים המובילים לאתר מעמוד ראשון ושני בגוגל</w:t>
      </w:r>
    </w:p>
    <w:p>
      <w:r>
        <w:rPr>
          <w:rFonts w:hint="cs"/>
        </w:rPr>
        <w:t xml:space="preserve">03</w:t>
      </w:r>
      <w:r>
        <w:rPr>
          <w:rFonts w:hint="cs"/>
          <w:rtl/>
          <w:lang w:bidi="he-IL"/>
        </w:rPr>
        <w:t xml:space="preserve"> ספטמבר </w:t>
      </w:r>
      <w:r>
        <w:rPr>
          <w:rFonts w:hint="cs"/>
        </w:rPr>
        <w:t xml:space="preserve">2025</w:t>
      </w:r>
      <w:r>
        <w:rPr>
          <w:rFonts w:hint="cs"/>
          <w:rtl/>
          <w:lang w:bidi="he-IL"/>
        </w:rPr>
        <w:t xml:space="preserve"> עד </w:t>
      </w:r>
      <w:r>
        <w:rPr>
          <w:rFonts w:hint="cs"/>
        </w:rPr>
        <w:t xml:space="preserve">02</w:t>
      </w:r>
      <w:r>
        <w:rPr>
          <w:rFonts w:hint="cs"/>
          <w:rtl/>
          <w:lang w:bidi="he-IL"/>
        </w:rPr>
        <w:t xml:space="preserve"> אוקטובר </w:t>
      </w:r>
      <w:r>
        <w:rPr>
          <w:rFonts w:hint="cs"/>
        </w:rPr>
        <w:t xml:space="preserve">2025</w:t>
      </w:r>
    </w:p>
    <w:p>
      <w:pPr>
        <w:pStyle w:val="2"/>
      </w:pPr>
      <w:r>
        <w:rPr>
          <w:rFonts w:hint="cs"/>
          <w:rtl/>
          <w:lang w:bidi="he-IL"/>
        </w:rPr>
        <w:t xml:space="preserve">מילים מובילות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מילת מפתח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חיפושים חודשיים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חיפושים מקומיים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מיקום ממוצע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isi israel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6.75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אי אס אי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7.75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חברת </w:t>
            </w:r>
            <w:r>
              <w:rPr>
                <w:rFonts w:hint="cs"/>
              </w:rPr>
              <w:t xml:space="preserve">isi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8.17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isi medical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16.00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משה שטיינר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19.00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מד לחץ דם </w:t>
            </w:r>
            <w:r>
              <w:rPr>
                <w:rFonts w:hint="cs"/>
              </w:rPr>
              <w:t xml:space="preserve">omron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25.86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omron</w:t>
            </w:r>
            <w:r>
              <w:rPr>
                <w:rFonts w:hint="cs"/>
                <w:rtl/>
                <w:lang w:bidi="he-IL"/>
              </w:rPr>
              <w:t xml:space="preserve"> מד לחץ דם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אומרון מד לחץ דם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27.20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מד לחץ דם אומרון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27.38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omron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201,000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35.00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אומרון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38.50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omron</w:t>
            </w:r>
            <w:r>
              <w:rPr>
                <w:rFonts w:hint="cs"/>
                <w:rtl/>
                <w:lang w:bidi="he-IL"/>
              </w:rPr>
              <w:t xml:space="preserve"> לחץ דם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39.80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isil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1,600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מכשור מדעי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43.71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בדיקת קורונה ושפעת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45.50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בדיקת קורונה ושפעת ביתית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52.33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בדיקה לשפעת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52.50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בדיקת שפעת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52.81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בדיקת שפעת ביתית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60.00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ערכת בדיקת קורונה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63.50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בית אמרגד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64.00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ערכה לבדיקת קורונה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64.33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isi</w:t>
            </w:r>
            <w:r>
              <w:rPr>
                <w:rFonts w:hint="cs"/>
                <w:rtl/>
                <w:lang w:bidi="he-IL"/>
              </w:rPr>
              <w:t xml:space="preserve"> ?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65.00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isi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14,800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66.50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מד לחץ סילו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71.29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מד מדידה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76.00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חלוק חד פעמי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77.73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מדידה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80.59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חלוקים חד פעמיים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84.26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אביזרי מדידה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88.50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ספק ציוד מעבדה בישראל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92.08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מתכלים מעבדות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94.00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מתכלים למעבדות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94.50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בגדי מיגון לבתי חולים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95.20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ציוד קורונה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99.00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מתכלים למעבדה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99.50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בדיקות שפעת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100.00</w:t>
            </w:r>
          </w:p>
        </w:tc>
      </w:tr>
      <w:tr>
        <w:trPr>
          <w:cantSplit/>
        </w:trPr>
        <w:tc>
          <w:tcPr>
            <w:tcW w:w="0" w:type="dxa"/>
            <w:shd w:fill="F2F2F2"/>
          </w:tcPr>
          <w:p>
            <w:r>
              <w:rPr>
                <w:rFonts w:hint="cs"/>
                <w:rtl/>
                <w:lang w:bidi="he-IL"/>
              </w:rPr>
              <w:t xml:space="preserve">סיכום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  <w:rtl/>
                <w:lang w:bidi="he-IL"/>
              </w:rPr>
              <w:t xml:space="preserve">מעט חיפושים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56.78</w:t>
            </w:r>
          </w:p>
        </w:tc>
      </w:tr>
    </w:tbl>
    <w:p>
      <w:r>
        <w:br w:type="page"/>
      </w:r>
    </w:p>
    <w:p>
      <w:pPr>
        <w:pStyle w:val="1"/>
      </w:pPr>
      <w:r>
        <w:rPr>
          <w:rFonts w:hint="cs"/>
          <w:rtl/>
          <w:lang w:bidi="he-IL"/>
        </w:rPr>
        <w:t xml:space="preserve">תנועת סלולארי</w:t>
      </w:r>
    </w:p>
    <w:p>
      <w:r>
        <w:rPr>
          <w:rFonts w:hint="cs"/>
        </w:rPr>
        <w:t xml:space="preserve">01</w:t>
      </w:r>
      <w:r>
        <w:rPr>
          <w:rFonts w:hint="cs"/>
          <w:rtl/>
          <w:lang w:bidi="he-IL"/>
        </w:rPr>
        <w:t xml:space="preserve"> ספטמבר </w:t>
      </w:r>
      <w:r>
        <w:rPr>
          <w:rFonts w:hint="cs"/>
        </w:rPr>
        <w:t xml:space="preserve">2025</w:t>
      </w:r>
      <w:r>
        <w:rPr>
          <w:rFonts w:hint="cs"/>
          <w:rtl/>
          <w:lang w:bidi="he-IL"/>
        </w:rPr>
        <w:t xml:space="preserve"> עד </w:t>
      </w:r>
      <w:r>
        <w:rPr>
          <w:rFonts w:hint="cs"/>
        </w:rPr>
        <w:t xml:space="preserve">30</w:t>
      </w:r>
      <w:r>
        <w:rPr>
          <w:rFonts w:hint="cs"/>
          <w:rtl/>
          <w:lang w:bidi="he-IL"/>
        </w:rPr>
        <w:t xml:space="preserve"> ספטמבר </w:t>
      </w:r>
      <w:r>
        <w:rPr>
          <w:rFonts w:hint="cs"/>
        </w:rPr>
        <w:t xml:space="preserve">2025</w:t>
      </w:r>
    </w:p>
    <w:tbl>
      <w:tblPr>
        <w:tblStyle w:val="-2"/>
        <w:bidiVisual/>
        <w:tblCellMar>
          <w:left w:w="50" w:type="dxa"/>
          <w:right w:w="50" w:type="dxa"/>
        </w:tblCellMar>
        <w:tblLook w:val="04A0"/>
      </w:tblPr>
      <w:tblGrid>
        <w:gridCol w:w="5000"/>
        <w:gridCol w:w="5000"/>
      </w:tblGrid>
      <w:tr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סוג מכשיר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יצרני מכשירים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ניתוח תנועת סלולארי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קטגוריית מכשירים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מחשב שולחני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538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80.54%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399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74.16%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טלפון נייד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130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19.46%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112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86.15%</w:t>
            </w:r>
          </w:p>
        </w:tc>
      </w:tr>
      <w:tr>
        <w:trPr>
          <w:cantSplit/>
        </w:trPr>
        <w:tc>
          <w:tcPr>
            <w:tcW w:w="0" w:type="dxa"/>
            <w:shd w:fill="F2F2F2"/>
          </w:tcPr>
          <w:p>
            <w:r>
              <w:rPr>
                <w:rFonts w:hint="cs"/>
                <w:rtl/>
                <w:lang w:bidi="he-IL"/>
              </w:rPr>
              <w:t xml:space="preserve">סה"כ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668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511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76.50%</w:t>
            </w:r>
          </w:p>
        </w:tc>
      </w:tr>
    </w:tbl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600" w:right="800" w:bottom="1500" w:left="800" w:header="450" w:footer="100" w:gutter="0"/>
      <w:cols w:space="708"/>
      <w:bidi/>
      <!--w:titlePg-->
      <w:rtlGutter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endnote>
  <w:end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3B13E" w14:textId="24C3310A" w:rsidR="0053122B" w:rsidRDefault="0053122B" w:rsidP="00E93C1B">
    <w:pPr>
      <w:pStyle w:val="Footer"/>
      <w:bidi/>
      <w:jc w:val="center"/>
    </w:pPr>
    <w:r>
      <w:rPr>
        <w:noProof/>
      </w:rPr>
      <w:drawing>
        <wp:inline distT="0" distB="0" distL="0" distR="0" wp14:anchorId="31C2F849" wp14:editId="6CD787FE">
          <wp:extent cx="5954400" cy="334800"/>
          <wp:effectExtent l="0" t="0" r="0" b="825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4400" cy="33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footnote>
  <w:foot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6A4FEA"/>
    <w:rsid w:val="00096ADE"/>
    <w:rsid w:val="001005A5"/>
    <w:rsid w:val="0020041C"/>
    <w:rsid w:val="002D6C70"/>
    <w:rsid w:val="005522FC"/>
    <w:rsid w:val="006A4FEA"/>
    <w:rsid w:val="00760F8D"/>
    <w:rsid w:val="007B1FA4"/>
    <w:rsid w:val="00C80019"/>
    <w:rsid w:val="00EF0115"/>
    <w:rsid w:val="00F82E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0"/>
        <w:szCs w:val="20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6C70"/>
    <w:rPr>
      <w:rFonts w:ascii="Arial" w:eastAsia="Arial" w:hAnsi="Arial" w:cs="Arial"/>
      <w:sz w:val="20"/>
      <w:szCs w:val="20"/>
      <w:pPr>
        <w:bidi w:val="1"/>
      </w:pPr>
    </w:rPr>
  </w:style>
  <w:style w:type="paragraph" w:styleId="1">
    <w:name w:val="heading 1"/>
    <w:basedOn w:val="a"/>
    <w:next w:val="a"/>
    <w:link w:val="10"/>
    <w:uiPriority w:val="9"/>
    <w:qFormat/>
    <w:rsid w:val="002D6C70"/>
    <w:pPr>
      <w:pageBreakBefore/>
      <w:keepNext/>
      <w:keepLines/>
      <w:pBdr>
        <w:bottom w:val="single" w:sz="18" w:space="1" w:color="1F497D" w:themeColor="text2"/>
      </w:pBdr>
      <w:spacing w:before="30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6C70"/>
    <w:pPr>
      <w:keepNext/>
      <w:keepLines/>
      <w:spacing w:before="400" w:after="2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3F4"/>
    <w:pPr>
      <w:keepNext/>
      <w:keepLines/>
      <w:spacing w:before="350" w:after="15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2D6C70"/>
    <w:pPr>
      <w:pBdr>
        <w:top w:val="dotted" w:sz="6" w:space="2" w:color="4F81BD" w:themeColor="accent1"/>
        <w:left w:val="dotted" w:sz="6" w:space="2" w:color="4F81BD" w:themeColor="accent1"/>
      </w:pBdr>
      <w:spacing w:before="250" w:after="15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2D6C70"/>
    <w:pPr>
      <w:pBdr>
        <w:bottom w:val="single" w:sz="6" w:space="1" w:color="4F81BD" w:themeColor="accent1"/>
      </w:pBdr>
      <w:spacing w:before="250" w:after="15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6C70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6C70"/>
    <w:pPr>
      <w:spacing w:before="300" w:after="0"/>
    </w:pPr>
    <w:rPr>
      <w:caps/>
      <w:color w:val="365F91" w:themeColor="accent1" w:themeShade="BF"/>
      <w:spacing w:val="10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6C7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6C7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54" w:type="dxa"/>
        <w:bottom w:w="0" w:type="dxa"/>
        <w:right w:w="54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D6C70"/>
    <w:rPr>
      <w:rFonts w:cs="Arial"/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20">
    <w:name w:val="כותרת 2 תו"/>
    <w:basedOn w:val="a0"/>
    <w:link w:val="2"/>
    <w:uiPriority w:val="9"/>
    <w:semiHidden/>
    <w:rsid w:val="002D6C70"/>
    <w:rPr>
      <w:rFonts w:cs="Arial"/>
      <w:caps/>
      <w:spacing w:val="15"/>
      <w:shd w:val="clear" w:color="auto" w:fill="DBE5F1" w:themeFill="accent1" w:themeFillTint="33"/>
    </w:rPr>
  </w:style>
  <w:style w:type="character" w:customStyle="1" w:styleId="30">
    <w:name w:val="כותרת 3 תו"/>
    <w:basedOn w:val="a0"/>
    <w:link w:val="3"/>
    <w:uiPriority w:val="9"/>
    <w:semiHidden/>
    <w:rsid w:val="002D6C70"/>
    <w:rPr>
      <w:rFonts w:ascii="Arial" w:eastAsia="Arial" w:hAnsi="Arial" w:cs="Arial"/>
      <w:caps/>
      <w:color w:val="243F60" w:themeColor="accent1" w:themeShade="7F"/>
      <w:spacing w:val="15"/>
    </w:rPr>
  </w:style>
  <w:style w:type="character" w:customStyle="1" w:styleId="40">
    <w:name w:val="כותרת 4 תו"/>
    <w:basedOn w:val="a0"/>
    <w:link w:val="4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50">
    <w:name w:val="כותרת 5 תו"/>
    <w:basedOn w:val="a0"/>
    <w:link w:val="5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60">
    <w:name w:val="כותרת 6 תו"/>
    <w:basedOn w:val="a0"/>
    <w:link w:val="6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70">
    <w:name w:val="כותרת 7 תו"/>
    <w:basedOn w:val="a0"/>
    <w:link w:val="7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80">
    <w:name w:val="כותרת 8 תו"/>
    <w:basedOn w:val="a0"/>
    <w:link w:val="8"/>
    <w:uiPriority w:val="9"/>
    <w:semiHidden/>
    <w:rsid w:val="002D6C70"/>
    <w:rPr>
      <w:caps/>
      <w:spacing w:val="10"/>
      <w:sz w:val="18"/>
      <w:szCs w:val="18"/>
    </w:rPr>
  </w:style>
  <w:style w:type="character" w:customStyle="1" w:styleId="90">
    <w:name w:val="כותרת 9 תו"/>
    <w:basedOn w:val="a0"/>
    <w:link w:val="9"/>
    <w:uiPriority w:val="9"/>
    <w:semiHidden/>
    <w:rsid w:val="002D6C70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D6C70"/>
    <w:rPr>
      <w:color w:val="365F91" w:themeColor="accent1" w:themeShade="BF"/>
      <w:sz w:val="16"/>
      <w:szCs w:val="16"/>
      <w:bidi w:val="1"/>
    </w:rPr>
  </w:style>
  <w:style w:type="paragraph" w:styleId="a3">
    <w:name w:val="caption"/>
    <w:basedOn w:val="a"/>
    <w:next w:val="a"/>
    <w:uiPriority w:val="35"/>
    <w:semiHidden/>
    <w:unhideWhenUsed/>
    <w:qFormat/>
    <w:rsid w:val="002D6C70"/>
    <w:pPr>
      <w:bidi w:val="0"/>
    </w:pPr>
    <w:rPr>
      <w:b/>
      <w:bCs/>
      <w:color w:val="365F91" w:themeColor="accent1" w:themeShade="BF"/>
      <w:sz w:val="16"/>
      <w:szCs w:val="16"/>
    </w:rPr>
  </w:style>
  <w:style w:type="paragraph" w:styleId="a4">
    <w:name w:val="caption"/>
    <w:basedOn w:val="a"/>
    <w:next w:val="a"/>
    <w:uiPriority w:val="35"/>
    <w:semiHidden/>
    <w:unhideWhenUsed/>
    <w:qFormat/>
    <w:rsid w:val="002D6C70"/>
    <w:pPr>
      <w:bidi w:val="0"/>
    </w:pPr>
    <w:rPr>
      <w:color w:val="365F91" w:themeColor="accent1" w:themeShade="BF"/>
      <w:sz w:val="16"/>
      <w:szCs w:val="16"/>
    </w:rPr>
  </w:style>
  <w:style w:type="paragraph" w:styleId="title">
    <w:name w:val="Title"/>
    <w:basedOn w:val="a"/>
    <w:next w:val="a"/>
    <w:link w:val="a5"/>
    <w:uiPriority w:val="10"/>
    <w:qFormat/>
    <w:rsid w:val="002D6C7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תואר תו"/>
    <w:basedOn w:val="a0"/>
    <w:link w:val="a4"/>
    <w:uiPriority w:val="10"/>
    <w:rsid w:val="002D6C70"/>
    <w:rPr>
      <w:caps/>
      <w:color w:val="4F81BD" w:themeColor="accent1"/>
      <w:spacing w:val="10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D6C70"/>
    <w:pPr>
      <w:bidi w:val="0"/>
      <w:spacing w:after="1000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a7">
    <w:name w:val="כותרת משנה תו"/>
    <w:basedOn w:val="a0"/>
    <w:link w:val="a6"/>
    <w:uiPriority w:val="11"/>
    <w:rsid w:val="002D6C70"/>
    <w:rPr>
      <w:caps/>
      <w:color w:val="595959" w:themeColor="text1" w:themeTint="A6"/>
      <w:spacing w:val="10"/>
      <w:sz w:val="24"/>
      <w:szCs w:val="24"/>
    </w:rPr>
  </w:style>
  <w:style w:type="character" w:styleId="a8">
    <w:name w:val="Strong"/>
    <w:uiPriority w:val="22"/>
    <w:qFormat/>
    <w:rsid w:val="002D6C70"/>
    <w:rPr>
      <w:b/>
      <w:bCs/>
    </w:rPr>
  </w:style>
  <w:style w:type="character" w:styleId="a9">
    <w:name w:val="Emphasis"/>
    <w:uiPriority w:val="20"/>
    <w:qFormat/>
    <w:rsid w:val="002D6C70"/>
    <w:rPr>
      <w:caps/>
      <w:color w:val="243F60" w:themeColor="accent1" w:themeShade="7F"/>
      <w:spacing w:val="5"/>
    </w:rPr>
  </w:style>
  <w:style w:type="paragraph" w:styleId="aa">
    <w:name w:val="No Spacing"/>
    <w:basedOn w:val="a"/>
    <w:link w:val="ab"/>
    <w:uiPriority w:val="1"/>
    <w:qFormat/>
    <w:rsid w:val="002D6C70"/>
    <w:pPr>
      <w:spacing w:before="0" w:after="0" w:line="240" w:lineRule="auto"/>
    </w:pPr>
  </w:style>
  <w:style w:type="character" w:customStyle="1" w:styleId="ab">
    <w:name w:val="ללא מרווח תו"/>
    <w:basedOn w:val="a0"/>
    <w:link w:val="aa"/>
    <w:uiPriority w:val="1"/>
    <w:rsid w:val="002D6C70"/>
    <w:rPr>
      <w:sz w:val="20"/>
      <w:szCs w:val="20"/>
    </w:rPr>
  </w:style>
  <w:style w:type="paragraph" w:styleId="ac">
    <w:name w:val="List Paragraph"/>
    <w:basedOn w:val="a"/>
    <w:uiPriority w:val="34"/>
    <w:qFormat/>
    <w:rsid w:val="002D6C70"/>
    <w:pPr>
      <w:ind w:left="720"/>
      <w:contextualSpacing/>
    </w:pPr>
  </w:style>
  <w:style w:type="paragraph" w:styleId="ad">
    <w:name w:val="Quote"/>
    <w:basedOn w:val="a"/>
    <w:next w:val="a"/>
    <w:link w:val="ae"/>
    <w:uiPriority w:val="29"/>
    <w:qFormat/>
    <w:rsid w:val="002D6C70"/>
    <w:pPr>
      <w:bidi w:val="0"/>
    </w:pPr>
    <w:rPr>
      <w:i/>
      <w:iCs/>
    </w:rPr>
  </w:style>
  <w:style w:type="character" w:customStyle="1" w:styleId="ae">
    <w:name w:val="הצעת מחיר תו"/>
    <w:basedOn w:val="a0"/>
    <w:link w:val="ad"/>
    <w:uiPriority w:val="29"/>
    <w:rsid w:val="002D6C70"/>
    <w:rPr>
      <w:i/>
      <w:iCs/>
      <w:sz w:val="20"/>
      <w:szCs w:val="20"/>
    </w:rPr>
  </w:style>
  <w:style w:type="paragraph" w:styleId="af">
    <w:name w:val="Intense Quote"/>
    <w:basedOn w:val="a"/>
    <w:next w:val="a"/>
    <w:link w:val="af0"/>
    <w:uiPriority w:val="30"/>
    <w:qFormat/>
    <w:rsid w:val="002D6C70"/>
    <w:pPr>
      <w:pBdr>
        <w:top w:val="single" w:sz="4" w:space="10" w:color="4F81BD" w:themeColor="accent1"/>
        <w:left w:val="single" w:sz="4" w:space="10" w:color="4F81BD" w:themeColor="accent1"/>
      </w:pBdr>
      <w:bidi w:val="0"/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af0">
    <w:name w:val="הצעת מחיר חזקה תו"/>
    <w:basedOn w:val="a0"/>
    <w:link w:val="af"/>
    <w:uiPriority w:val="30"/>
    <w:rsid w:val="002D6C70"/>
    <w:rPr>
      <w:i/>
      <w:iCs/>
      <w:color w:val="4F81BD" w:themeColor="accent1"/>
      <w:sz w:val="20"/>
      <w:szCs w:val="20"/>
    </w:rPr>
  </w:style>
  <w:style w:type="character" w:styleId="af1">
    <w:name w:val="Subtle Emphasis"/>
    <w:uiPriority w:val="19"/>
    <w:qFormat/>
    <w:rsid w:val="002D6C70"/>
    <w:rPr>
      <w:i/>
      <w:iCs/>
      <w:color w:val="243F60" w:themeColor="accent1" w:themeShade="7F"/>
    </w:rPr>
  </w:style>
  <w:style w:type="character" w:styleId="af2">
    <w:name w:val="Intense Emphasis"/>
    <w:uiPriority w:val="21"/>
    <w:qFormat/>
    <w:rsid w:val="002D6C70"/>
    <w:rPr>
      <w:b/>
      <w:bCs/>
      <w:caps/>
      <w:color w:val="243F60" w:themeColor="accent1" w:themeShade="7F"/>
      <w:spacing w:val="10"/>
    </w:rPr>
  </w:style>
  <w:style w:type="character" w:styleId="af3">
    <w:name w:val="Subtle Reference"/>
    <w:uiPriority w:val="31"/>
    <w:qFormat/>
    <w:rsid w:val="002D6C70"/>
    <w:rPr>
      <w:b/>
      <w:bCs/>
      <w:color w:val="4F81BD" w:themeColor="accent1"/>
    </w:rPr>
  </w:style>
  <w:style w:type="character" w:styleId="af4">
    <w:name w:val="Intense Reference"/>
    <w:uiPriority w:val="32"/>
    <w:qFormat/>
    <w:rsid w:val="002D6C70"/>
    <w:rPr>
      <w:b/>
      <w:bCs/>
      <w:i/>
      <w:iCs/>
      <w:caps/>
      <w:color w:val="4F81BD" w:themeColor="accent1"/>
    </w:rPr>
  </w:style>
  <w:style w:type="character" w:styleId="af5">
    <w:name w:val="Book Title"/>
    <w:uiPriority w:val="33"/>
    <w:qFormat/>
    <w:rsid w:val="002D6C70"/>
    <w:rPr>
      <w:b/>
      <w:bCs/>
      <w:i/>
      <w:iCs/>
      <w:spacing w:val="9"/>
    </w:rPr>
  </w:style>
  <w:style w:type="paragraph" w:styleId="af6">
    <w:name w:val="TOC Heading"/>
    <w:basedOn w:val="1"/>
    <w:next w:val="a"/>
    <w:uiPriority w:val="39"/>
    <w:semiHidden/>
    <w:unhideWhenUsed/>
    <w:qFormat/>
    <w:rsid w:val="002D6C70"/>
    <w:pPr>
      <w:bidi w:val="0"/>
      <w:outlineLvl w:val="9"/>
    </w:pPr>
  </w:style>
  <w:style w:type="paragraph" w:styleId="af7">
    <w:name w:val="header"/>
    <w:basedOn w:val="a"/>
    <w:link w:val="af8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8">
    <w:name w:val="כותרת עליונה תו"/>
    <w:basedOn w:val="a0"/>
    <w:link w:val="af7"/>
    <w:uiPriority w:val="99"/>
    <w:semiHidden/>
    <w:rsid w:val="0012634D"/>
    <w:rPr>
      <w:sz w:val="20"/>
      <w:szCs w:val="20"/>
    </w:rPr>
  </w:style>
  <w:style w:type="paragraph" w:styleId="af9">
    <w:name w:val="footer"/>
    <w:basedOn w:val="a"/>
    <w:link w:val="afa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a">
    <w:name w:val="כותרת תחתונה תו"/>
    <w:basedOn w:val="a0"/>
    <w:link w:val="af9"/>
    <w:uiPriority w:val="99"/>
    <w:semiHidden/>
    <w:rsid w:val="0012634D"/>
    <w:rPr>
      <w:sz w:val="20"/>
      <w:szCs w:val="20"/>
    </w:rPr>
  </w:style>
  <w:style w:type="table" w:styleId="-1">
    <w:name w:val="Light Grid Accent 1"/>
    <w:basedOn w:val="a1"/>
    <w:uiPriority w:val="62"/>
    <w:rsid w:val="00D83C79"/>
    <w:pPr>
      <w:spacing w:before="0" w:after="0" w:line="220" w:lineRule="exact"/>
    </w:pPr>
    <w:tblPr>
      <w:tblStyleRowBandSize w:val="1"/>
      <w:tblStyleColBandSize w:val="1"/>
      <w:tblInd w:w="0" w:type="dxa"/>
      <w:tblBorders>
        <w:top w:val="single" w:sz="8" w:space="0" w:color="DBDBDB"/>
        <w:left w:val="single" w:sz="8" w:space="0" w:color="DBDBDB"/>
        <w:bottom w:val="single" w:sz="8" w:space="0" w:color="DBDBDB"/>
        <w:right w:val="single" w:sz="8" w:space="0" w:color="DBDBDB"/>
        <w:insideH w:val="single" w:sz="8" w:space="0" w:color="DBDBDB"/>
        <w:insideV w:val="single" w:sz="8" w:space="0" w:color="DBDBDB"/>
      </w:tblBorders>
      <w:tblCellMar>
        <w:top w:w="108" w:type="dxa"/>
        <w:left w:w="108" w:type="dxa"/>
        <w:bottom w:w="82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DBDB"/>
          <w:left w:val="single" w:sz="8" w:space="0" w:color="DBDBDB"/>
          <w:bottom w:val="single" w:sz="12" w:space="0" w:color="DBDBDB"/>
          <w:right w:val="single" w:sz="8" w:space="0" w:color="DBDBDB"/>
          <w:insideH w:val="nil"/>
          <w:insideV w:val="single" w:sz="8" w:space="0" w:color="DBDBDB"/>
        </w:tcBorders>
        <!-- <w:shd w:val="clear" w:color="auto" w:fill="CCE4FF"/> -->
        <w:shd w:val="clear" w:color="auto" w:fill="EEECE1"/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single" w:sz="8" w:space="0" w:color="DBDBDB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nil"/>
          <w:tl2br w:val="nil"/>
          <w:tr2bl w:val="nil"/>
        </w:tcBorders>
        <w:shd w:val="clear" w:color="auto" w:fill="EEEEF4" w:themeFill="accent1" w:themeFillTint="3F"/>
      </w:tcPr>
    </w:tblStylePr>
    <w:tblStylePr w:type="band1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  <!--
                 old and ugly:
                 <w:shd w:val="clear" w:color="auto" w:fill="EEEEF4"/>
                 -->
        <w:shd w:val="clear" w:color="auto"/>
      </w:tcPr>
    </w:tblStylePr>
    <w:tblStylePr w:type="band2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</w:tcPr>
    </w:tblStylePr>
  </w:style>
  <w:style w:type="paragraph" w:customStyle="1" w:styleId="11">
    <w:name w:val="אפור 1"/>
    <w:basedOn w:val="a"/>
    <w:link w:val="12"/>
    <w:qFormat/>
    <w:rsid w:val="00E8410A"/>
    <w:pPr>
      <w:spacing w:before="0" w:after="0" w:line="240" w:lineRule="exact"/>
      <w:jc w:val="center"/>
    </w:pPr>
    <w:rPr>
      <w:color w:val="A6A6A6" w:themeColor="background1" w:themeShade="A6"/>
      <w:lang w:bidi="he-IL"/>
    </w:rPr>
  </w:style>
  <w:style w:type="paragraph" w:customStyle="1" w:styleId="13">
    <w:name w:val="ירוק 1"/>
    <w:basedOn w:val="a"/>
    <w:link w:val="14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color w:val="75B852"/>
      <w:sz w:val="16"/>
      <w:szCs w:val="16"/>
      <w:lang w:bidi="he-IL"/>
    </w:rPr>
  </w:style>
  <w:style w:type="character" w:customStyle="1" w:styleId="12">
    <w:name w:val="אפור 1 תו"/>
    <w:basedOn w:val="a0"/>
    <w:link w:val="11"/>
    <w:rsid w:val="00E8410A"/>
    <w:rPr>
      <w:rFonts w:cs="Arial"/>
      <w:color w:val="A6A6A6" w:themeColor="background1" w:themeShade="A6"/>
      <w:sz w:val="20"/>
      <w:szCs w:val="20"/>
      <w:lang w:bidi="he-IL"/>
    </w:rPr>
  </w:style>
  <w:style w:type="character" w:customStyle="1" w:styleId="grayTxt">
    <w:name w:val="Gray Text"/>
    <w:basedOn w:val="a0"/>
    <w:rPr>
      <w:rFonts w:cs="Arial"/>
      <w:b/>
      <w:bCs/>
      <w:color w:val="737373"/>
      <w:sz w:val="16"/>
      <w:szCs w:val="16"/>
      <w:lang w:bidi="he-IL"/>
    </w:rPr>
  </w:style>
  <w:style w:type="character" w:styleId="graySymbol">
    <w:name w:val="Gray Symbol"/>
    <w:basedOn w:val="a0"/>
    <w:rPr>
      <w:rFonts w:ascii="Arial Unicode MS" w:eastAsia="Arial Unicode MS" w:cs="Arial Unicode MS"/>
      <w:b/>
      <w:bCs/>
      <w:color w:val="737373" w:themeColor="background1" w:themeShade="A6"/>
      <w:sz w:val="16"/>
      <w:szCs w:val="16"/>
    </w:rPr>
  </w:style>
  <w:style w:type="paragraph" w:customStyle="1" w:styleId="21">
    <w:name w:val="ירוק 2"/>
    <w:basedOn w:val="a"/>
    <w:link w:val="22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75B852"/>
      <w:lang w:bidi="he-IL"/>
    </w:rPr>
  </w:style>
  <w:style w:type="character" w:customStyle="1" w:styleId="14">
    <w:name w:val="ירוק 1 תו"/>
    <w:basedOn w:val="a0"/>
    <w:link w:val="13"/>
    <w:rsid w:val="00F45CD9"/>
    <w:rPr>
      <w:rFonts w:cs="Arial"/>
      <w:color w:val="75B852"/>
      <w:sz w:val="16"/>
      <w:szCs w:val="16"/>
      <w:lang w:bidi="he-IL"/>
    </w:rPr>
  </w:style>
  <w:style w:type="paragraph" w:customStyle="1" w:styleId="15">
    <w:name w:val="אדום 1"/>
    <w:basedOn w:val="a"/>
    <w:link w:val="16"/>
    <w:qFormat/>
    <w:rsid w:val="00F45CD9"/>
    <w:pPr>
      <w:spacing w:before="0" w:after="0" w:line="240" w:lineRule="exact"/>
      <w:jc w:val="center"/>
    </w:pPr>
    <w:rPr>
      <w:b/>
      <w:bCs/>
      <w:color w:val="C00000"/>
      <w:sz w:val="16"/>
      <w:szCs w:val="16"/>
      <w:lang w:bidi="he-IL"/>
    </w:rPr>
  </w:style>
  <w:style w:type="character" w:customStyle="1" w:styleId="22">
    <w:name w:val="ירוק 2 תו"/>
    <w:basedOn w:val="a0"/>
    <w:link w:val="21"/>
    <w:rsid w:val="00F45CD9"/>
    <w:rPr>
      <w:rFonts w:ascii="Arial Unicode MS" w:eastAsia="Arial Unicode MS" w:cs="Arial Unicode MS"/>
      <w:b/>
      <w:bCs/>
      <w:color w:val="75B852"/>
      <w:sz w:val="16"/>
      <w:szCs w:val="16"/>
    </w:rPr>
  </w:style>
  <w:style w:type="paragraph" w:customStyle="1" w:styleId="23">
    <w:name w:val="אדום 2"/>
    <w:basedOn w:val="a"/>
    <w:link w:val="24"/>
    <w:qFormat/>
    <w:rsid w:val="00F45CD9"/>
    <w:pPr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C00000"/>
      <w:sz w:val="24"/>
      <w:szCs w:val="24"/>
      <w:lang w:bidi="he-IL"/>
    </w:rPr>
  </w:style>
  <w:style w:type="character" w:customStyle="1" w:styleId="16">
    <w:name w:val="אדום 1 תו"/>
    <w:basedOn w:val="a0"/>
    <w:link w:val="15"/>
    <w:rsid w:val="00F45CD9"/>
    <w:rPr>
      <w:rFonts w:cs="Arial"/>
      <w:b/>
      <w:bCs/>
      <w:color w:val="C00000"/>
      <w:sz w:val="16"/>
      <w:szCs w:val="16"/>
      <w:lang w:bidi="he-IL"/>
    </w:rPr>
  </w:style>
  <w:style w:type="character" w:customStyle="1" w:styleId="24">
    <w:name w:val="אדום 2 תו"/>
    <w:basedOn w:val="a0"/>
    <w:link w:val="23"/>
    <w:rsid w:val="00F45CD9"/>
    <w:rPr>
      <w:rFonts w:ascii="Arial Unicode MS" w:eastAsia="Arial Unicode MS" w:cs="Arial Unicode MS"/>
      <w:b/>
      <w:bCs/>
      <w:color w:val="C00000"/>
      <w:sz w:val="16"/>
      <w:szCs w:val="16"/>
    </w:rPr>
  </w:style>
  <w:style w:type="paragraph" w:customStyle="1" w:styleId="17">
    <w:name w:val="שחור 1"/>
    <w:basedOn w:val="a0"/>
    <w:link w:val="18"/>
    <w:qFormat/>
    <w:rsid w:val="00594BBD"/>
    <w:pPr>
      <w:spacing w:before="0" w:after="0" w:line="200" w:lineRule="exact"/>
      <w:jc w:val="center"/>
    </w:pPr>
    <w:rPr>
      <w:rFonts w:asciiTheme="majorBidi" w:hAnsiTheme="majorBidi" w:cstheme="majorBidi"/>
      <w:b/>
      <w:bCs/>
    </w:rPr>
  </w:style>
  <w:style w:type="character" w:customStyle="1" w:styleId="18">
    <w:name w:val="שחור 1 תו"/>
    <w:basedOn w:val="a0"/>
    <w:link w:val="17"/>
    <w:rsid w:val="00594BBD"/>
    <w:rPr>
      <w:rFonts w:asciiTheme="majorBidi" w:hAnsiTheme="majorBidi" w:cstheme="majorBidi"/>
      <w:b/>
      <w:bCs/>
      <w:sz w:val="20"/>
      <w:szCs w:val="20"/>
    </w:rPr>
  </w:style>
  <w:style w:type="character" w:customStyle="1" w:styleId="18a">
    <w:name w:val="שחור 2 תו"/>
    <w:basedOn w:val="a0"/>
    <w:link w:val="17"/>
    <w:rsid w:val="00594BBD"/>
    <w:rPr>
      <w:rFonts w:asciiTheme="majorBidi" w:hAnsiTheme="majorBidi" w:cstheme="majorBidi"/>
      <w:sz w:val="20"/>
      <w:szCs w:val="20"/>
    </w:rPr>
  </w:style>
  <w:style w:type="table" w:styleId="-2">
    <w:name w:val="Transparent centered table"/>
    <w:basedOn w:val="a1"/>
    <w:uiPriority w:val="62"/>
    <w:pPr>
      <w:spacing w:before="0" w:after="0"/>
    </w:pPr>
    <w:tblPr>
      <w:tblStyleRowBandSize w:val="1"/>
      <w:tblStyleColBandSize w:val="1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a0"/>
    <w:uiPriority w:val="99"/>
    <w:unhideWhenUsed/>
    <w:rsid w:val="005B6A8F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4" Type="http://schemas.openxmlformats.org/officeDocument/2006/relationships/image" Target="media/pic14.png"/><Relationship Id="rId15" Type="http://schemas.openxmlformats.org/officeDocument/2006/relationships/hyperlink" Target="https://www.lawnjustice.co.il/VACUUM-PUMPS-%D7%9E%D7%A0%D7%95%D7%A2-%D7%A9%D7%A7%D7%98-%D7%A9%D7%9C-%D7%AA%D7%A2%D7%A9%D7%99%D7%95%D7%AA-%D7%9E%D7%AA%D7%A7%D7%93%D7%9E%D7%95%D7%AA" TargetMode="External"/><Relationship Id="rId16" Type="http://schemas.openxmlformats.org/officeDocument/2006/relationships/hyperlink" Target="https://www.painrelief.org.il/%D7%93%D7%99%D7%A1%D7%90%D7%99%D7%A0%D7%98%D7%92%D7%A8%D7%A6%D7%99%D7%94-%D7%9E%D7%A9%D7%9E%D7%A2%D7%95%D7%AA%D7%94-%D7%95%D7%97%D7%A9%D7%99%D7%91%D7%95%D7%AA%D7%94-%D7%91%D7%AA%D7%A2%D7%A9%D7%99%D7%99%D7%94-%D7%94%D7%9E%D7%95%D7%93%D7%A8%D7%A0%D7%99%D7%AA" TargetMode="External"/><Relationship Id="rId17" Type="http://schemas.openxmlformats.org/officeDocument/2006/relationships/hyperlink" Target="https://www.lawnjustice.co.il/GC-%D7%9B%D7%A8%D7%95%D7%9E%D7%98%D7%95%D7%92%D7%A8%D7%A4%D7%99%D7%99%D7%AA-%D7%92%D7%96-%D7%94%D7%98%D7%9B%D7%A0%D7%95%D7%9C%D7%95%D7%92%D7%99%D7%94-%D7%A9%D7%9E%D7%95%D7%91%D7%99%D7%9C%D7%94-%D7%90%D7%AA-%D7%AA%D7%97%D7%95%D7%9D-%D7%94%D7%90%D7%A0%D7%9C%D7%99%D7%96%D7%94-%D7%94%D7%9B%D7%99%D7%9E%D7%99%D7%AA" TargetMode="External"/><Relationship Id="rId18" Type="http://schemas.openxmlformats.org/officeDocument/2006/relationships/hyperlink" Target="https://www.painrelief.org.il/%D7%92%D7%96-%D7%9B%D7%A8%D7%95%D7%9E%D7%98%D7%95%D7%92%D7%A8%D7%A3-%D7%98%D7%9B%D7%A0%D7%95%D7%9C%D7%95%D7%92%D7%99%D7%94-%D7%A4%D7%95%D7%A8%D7%A6%D7%AA-%D7%93%D7%A8%D7%9A-%D7%9C%D7%A0%D7%99%D7%AA%D7%95%D7%97-%D7%97%D7%95%D7%9E%D7%A8%D7%99%D7%9D" TargetMode="External"/><Relationship Id="rId19" Type="http://schemas.openxmlformats.org/officeDocument/2006/relationships/hyperlink" Target="https://www.isil.co.il/" TargetMode="External"/><Relationship Id="rId20" Type="http://schemas.openxmlformats.org/officeDocument/2006/relationships/hyperlink" Target="https://www.isil.co.il/Disintegration" TargetMode="External"/><Relationship Id="rId21" Type="http://schemas.openxmlformats.org/officeDocument/2006/relationships/hyperlink" Target="https://www.isil.co.il/" TargetMode="External"/><Relationship Id="rId22" Type="http://schemas.openxmlformats.org/officeDocument/2006/relationships/hyperlink" Target="https://www.isil.co.il/Gas-Chromatography-GC" TargetMode="External"/><Relationship Id="rId23" Type="http://schemas.openxmlformats.org/officeDocument/2006/relationships/image" Target="media/pic23.png"/><Relationship Id="rId24" Type="http://schemas.openxmlformats.org/officeDocument/2006/relationships/image" Target="media/pic24.png"/><Relationship Id="rId25" Type="http://schemas.openxmlformats.org/officeDocument/2006/relationships/image" Target="media/pic2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__image1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2011-05-12T11:27:00Z</dcterms:created>
  <dcterms:modified xsi:type="dcterms:W3CDTF">2011-05-12T11:27:00Z</dcterms:modified>
</cp:coreProperties>
</file>