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5166D" w:rsidRDefault="0018449F">
      <w:pPr>
        <w:rPr>
          <w:b/>
          <w:sz w:val="22"/>
          <w:szCs w:val="22"/>
        </w:rPr>
      </w:pPr>
      <w:r>
        <w:rPr>
          <w:b/>
          <w:sz w:val="22"/>
          <w:szCs w:val="22"/>
        </w:rPr>
        <w:t>Question of Interest</w:t>
      </w:r>
    </w:p>
    <w:p w:rsidR="00D5166D" w:rsidRDefault="0018449F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We are interested in the house price in the U.S, and we decide to build a model that predicts house price based on several attributes of the house. </w:t>
      </w:r>
    </w:p>
    <w:p w:rsidR="00D5166D" w:rsidRDefault="00D5166D">
      <w:pPr>
        <w:rPr>
          <w:b/>
          <w:sz w:val="22"/>
          <w:szCs w:val="22"/>
        </w:rPr>
      </w:pPr>
    </w:p>
    <w:p w:rsidR="00D5166D" w:rsidRDefault="0018449F">
      <w:pPr>
        <w:rPr>
          <w:b/>
          <w:sz w:val="22"/>
          <w:szCs w:val="22"/>
        </w:rPr>
      </w:pPr>
      <w:r>
        <w:rPr>
          <w:b/>
          <w:sz w:val="22"/>
          <w:szCs w:val="22"/>
        </w:rPr>
        <w:t>Data Sources</w:t>
      </w:r>
    </w:p>
    <w:p w:rsidR="00D5166D" w:rsidRDefault="0018449F">
      <w:pPr>
        <w:rPr>
          <w:sz w:val="22"/>
          <w:szCs w:val="22"/>
        </w:rPr>
      </w:pPr>
      <w:r>
        <w:rPr>
          <w:sz w:val="22"/>
          <w:szCs w:val="22"/>
        </w:rPr>
        <w:t xml:space="preserve">The dataset is from a </w:t>
      </w:r>
      <w:proofErr w:type="spellStart"/>
      <w:r>
        <w:rPr>
          <w:sz w:val="22"/>
          <w:szCs w:val="22"/>
        </w:rPr>
        <w:t>Kaggle</w:t>
      </w:r>
      <w:proofErr w:type="spellEnd"/>
      <w:r>
        <w:rPr>
          <w:sz w:val="22"/>
          <w:szCs w:val="22"/>
        </w:rPr>
        <w:t xml:space="preserve">, the link is posted here: </w:t>
      </w:r>
      <w:hyperlink r:id="rId7">
        <w:r>
          <w:rPr>
            <w:color w:val="0563C1"/>
            <w:sz w:val="22"/>
            <w:szCs w:val="22"/>
            <w:u w:val="single"/>
          </w:rPr>
          <w:t>https://www.kaggle.com/harlfoxem/housesalesprediction</w:t>
        </w:r>
      </w:hyperlink>
    </w:p>
    <w:p w:rsidR="00D5166D" w:rsidRDefault="0018449F">
      <w:pPr>
        <w:rPr>
          <w:b/>
          <w:sz w:val="22"/>
          <w:szCs w:val="22"/>
        </w:rPr>
      </w:pPr>
      <w:r>
        <w:rPr>
          <w:sz w:val="22"/>
          <w:szCs w:val="22"/>
        </w:rPr>
        <w:t>This dataset collects 21,613 records of house sales between May 2014 and May 2015 for King County, which located in US state of Was</w:t>
      </w:r>
      <w:r>
        <w:rPr>
          <w:sz w:val="22"/>
          <w:szCs w:val="22"/>
        </w:rPr>
        <w:t>hington. King County includes Seattle city, which is the biggest city in the state.</w:t>
      </w:r>
    </w:p>
    <w:p w:rsidR="00D5166D" w:rsidRDefault="00D5166D">
      <w:pPr>
        <w:rPr>
          <w:b/>
          <w:sz w:val="22"/>
          <w:szCs w:val="22"/>
        </w:rPr>
      </w:pPr>
    </w:p>
    <w:p w:rsidR="002456D7" w:rsidRDefault="0018449F">
      <w:pPr>
        <w:rPr>
          <w:sz w:val="22"/>
          <w:szCs w:val="22"/>
        </w:rPr>
      </w:pPr>
      <w:r>
        <w:rPr>
          <w:b/>
          <w:sz w:val="22"/>
          <w:szCs w:val="22"/>
        </w:rPr>
        <w:t>Variables will be used</w:t>
      </w:r>
    </w:p>
    <w:p w:rsidR="002456D7" w:rsidRDefault="002456D7">
      <w:pPr>
        <w:rPr>
          <w:rFonts w:hint="eastAsia"/>
          <w:sz w:val="22"/>
          <w:szCs w:val="22"/>
        </w:rPr>
      </w:pPr>
      <w:bookmarkStart w:id="0" w:name="_GoBack"/>
      <w:bookmarkEnd w:id="0"/>
    </w:p>
    <w:p w:rsidR="00D5166D" w:rsidRDefault="0018449F" w:rsidP="002456D7">
      <w:pPr>
        <w:spacing w:afterLines="50" w:after="120"/>
        <w:rPr>
          <w:sz w:val="22"/>
          <w:szCs w:val="22"/>
        </w:rPr>
      </w:pPr>
      <w:r>
        <w:rPr>
          <w:sz w:val="22"/>
          <w:szCs w:val="22"/>
        </w:rPr>
        <w:t xml:space="preserve">Dependent variable: </w:t>
      </w:r>
    </w:p>
    <w:tbl>
      <w:tblPr>
        <w:tblStyle w:val="a"/>
        <w:tblW w:w="10035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7950"/>
      </w:tblGrid>
      <w:tr w:rsidR="00D5166D">
        <w:trPr>
          <w:trHeight w:val="160"/>
        </w:trPr>
        <w:tc>
          <w:tcPr>
            <w:tcW w:w="2085" w:type="dxa"/>
          </w:tcPr>
          <w:p w:rsidR="00D5166D" w:rsidRDefault="0018449F" w:rsidP="002456D7">
            <w:pPr>
              <w:spacing w:afterLines="50" w:after="120" w:line="259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</w:t>
            </w:r>
          </w:p>
        </w:tc>
        <w:tc>
          <w:tcPr>
            <w:tcW w:w="7950" w:type="dxa"/>
          </w:tcPr>
          <w:p w:rsidR="00D5166D" w:rsidRDefault="0018449F" w:rsidP="002456D7">
            <w:pPr>
              <w:spacing w:afterLines="50" w:after="120" w:line="259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D5166D" w:rsidTr="002456D7">
        <w:trPr>
          <w:trHeight w:val="317"/>
        </w:trPr>
        <w:tc>
          <w:tcPr>
            <w:tcW w:w="2085" w:type="dxa"/>
          </w:tcPr>
          <w:p w:rsidR="00D5166D" w:rsidRDefault="0018449F">
            <w:pPr>
              <w:spacing w:line="259" w:lineRule="auto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</w:t>
            </w:r>
          </w:p>
        </w:tc>
        <w:tc>
          <w:tcPr>
            <w:tcW w:w="7950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 of each home sold, with a range from $75,000 to $7,700,000</w:t>
            </w:r>
          </w:p>
          <w:p w:rsidR="00D5166D" w:rsidRDefault="00D5166D">
            <w:pPr>
              <w:spacing w:line="259" w:lineRule="auto"/>
              <w:contextualSpacing w:val="0"/>
              <w:rPr>
                <w:sz w:val="22"/>
                <w:szCs w:val="22"/>
              </w:rPr>
            </w:pPr>
          </w:p>
        </w:tc>
      </w:tr>
    </w:tbl>
    <w:p w:rsidR="00D5166D" w:rsidRDefault="0018449F" w:rsidP="002456D7">
      <w:pPr>
        <w:spacing w:afterLines="50" w:after="120"/>
        <w:rPr>
          <w:sz w:val="22"/>
          <w:szCs w:val="22"/>
        </w:rPr>
      </w:pPr>
      <w:r>
        <w:rPr>
          <w:sz w:val="22"/>
          <w:szCs w:val="22"/>
        </w:rPr>
        <w:t xml:space="preserve">Independent variables: </w:t>
      </w:r>
    </w:p>
    <w:tbl>
      <w:tblPr>
        <w:tblStyle w:val="a0"/>
        <w:tblW w:w="1005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7935"/>
      </w:tblGrid>
      <w:tr w:rsidR="00D5166D">
        <w:tc>
          <w:tcPr>
            <w:tcW w:w="2115" w:type="dxa"/>
          </w:tcPr>
          <w:p w:rsidR="00D5166D" w:rsidRDefault="0018449F" w:rsidP="002456D7">
            <w:pPr>
              <w:spacing w:afterLines="50" w:after="120" w:line="259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Variable</w:t>
            </w:r>
          </w:p>
        </w:tc>
        <w:tc>
          <w:tcPr>
            <w:tcW w:w="7935" w:type="dxa"/>
          </w:tcPr>
          <w:p w:rsidR="00D5166D" w:rsidRDefault="0018449F" w:rsidP="002456D7">
            <w:pPr>
              <w:spacing w:afterLines="50" w:after="120" w:line="259" w:lineRule="auto"/>
              <w:contextualSpacing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D5166D">
        <w:trPr>
          <w:trHeight w:val="220"/>
        </w:trPr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the home sale</w:t>
            </w:r>
          </w:p>
        </w:tc>
      </w:tr>
      <w:tr w:rsidR="00D5166D">
        <w:trPr>
          <w:trHeight w:val="320"/>
        </w:trPr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bedrooms</w:t>
            </w:r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number of bedrooms</w:t>
            </w:r>
          </w:p>
        </w:tc>
      </w:tr>
      <w:tr w:rsidR="00D5166D"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bathrooms</w:t>
            </w:r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number of bathrooms</w:t>
            </w:r>
          </w:p>
        </w:tc>
      </w:tr>
      <w:tr w:rsidR="00D5166D">
        <w:trPr>
          <w:trHeight w:val="400"/>
        </w:trPr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sqft_living</w:t>
            </w:r>
            <w:proofErr w:type="spellEnd"/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Square footage of the apartments interior living space </w:t>
            </w:r>
          </w:p>
        </w:tc>
      </w:tr>
      <w:tr w:rsidR="00D5166D">
        <w:trPr>
          <w:trHeight w:val="380"/>
        </w:trPr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sqft_lot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Square footage of the land space</w:t>
            </w:r>
          </w:p>
        </w:tc>
      </w:tr>
      <w:tr w:rsidR="00D5166D">
        <w:trPr>
          <w:trHeight w:val="420"/>
        </w:trPr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floors</w:t>
            </w:r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number of floors</w:t>
            </w:r>
          </w:p>
        </w:tc>
      </w:tr>
      <w:tr w:rsidR="00D5166D"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waterfront</w:t>
            </w:r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dummy variable for whether the apartment was overlooking the waterfront or not </w:t>
            </w:r>
          </w:p>
        </w:tc>
      </w:tr>
      <w:tr w:rsidR="00D5166D"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view</w:t>
            </w:r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index from 0 to 4 of how good the view of the property was </w:t>
            </w:r>
          </w:p>
        </w:tc>
      </w:tr>
      <w:tr w:rsidR="00D5166D">
        <w:trPr>
          <w:trHeight w:val="260"/>
        </w:trPr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condition</w:t>
            </w:r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index from 1 to 5 on the condition of the apartment</w:t>
            </w:r>
          </w:p>
        </w:tc>
      </w:tr>
      <w:tr w:rsidR="00D5166D">
        <w:trPr>
          <w:trHeight w:val="840"/>
        </w:trPr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grade</w:t>
            </w:r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index from 1 to 13, where 1-3 falls short of building construction and design, 7 has an average level of construction and design, and 11-13 have a high-quality level of construction and design</w:t>
            </w:r>
          </w:p>
        </w:tc>
      </w:tr>
      <w:tr w:rsidR="00D5166D">
        <w:trPr>
          <w:trHeight w:val="260"/>
        </w:trPr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sqft_above</w:t>
            </w:r>
            <w:proofErr w:type="spellEnd"/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square footage of the interior housing space that is above ground level </w:t>
            </w:r>
          </w:p>
        </w:tc>
      </w:tr>
      <w:tr w:rsidR="00D5166D">
        <w:trPr>
          <w:trHeight w:val="260"/>
        </w:trPr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sqft_basement</w:t>
            </w:r>
            <w:proofErr w:type="spellEnd"/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square footage of the interior housing space that is below ground level</w:t>
            </w:r>
          </w:p>
        </w:tc>
      </w:tr>
      <w:tr w:rsidR="00D5166D">
        <w:trPr>
          <w:trHeight w:val="260"/>
        </w:trPr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yr_built</w:t>
            </w:r>
            <w:proofErr w:type="spellEnd"/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year the house was initially built</w:t>
            </w:r>
          </w:p>
        </w:tc>
      </w:tr>
      <w:tr w:rsidR="00D5166D">
        <w:trPr>
          <w:trHeight w:val="260"/>
        </w:trPr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yr_renovated</w:t>
            </w:r>
            <w:proofErr w:type="spellEnd"/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year of the house’s l</w:t>
            </w:r>
            <w:r>
              <w:rPr>
                <w:sz w:val="22"/>
                <w:szCs w:val="22"/>
              </w:rPr>
              <w:t>ast renovation </w:t>
            </w:r>
          </w:p>
        </w:tc>
      </w:tr>
      <w:tr w:rsidR="00D5166D">
        <w:trPr>
          <w:trHeight w:val="260"/>
        </w:trPr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lat</w:t>
            </w:r>
            <w:proofErr w:type="spellEnd"/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Latitude</w:t>
            </w:r>
          </w:p>
        </w:tc>
      </w:tr>
      <w:tr w:rsidR="00D5166D">
        <w:trPr>
          <w:trHeight w:val="260"/>
        </w:trPr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long</w:t>
            </w:r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Longitude</w:t>
            </w:r>
          </w:p>
        </w:tc>
      </w:tr>
      <w:tr w:rsidR="00D5166D">
        <w:trPr>
          <w:trHeight w:val="260"/>
        </w:trPr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sqft_living15</w:t>
            </w:r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square footage of interior housing living space for the nearest 15 neighbors </w:t>
            </w:r>
          </w:p>
        </w:tc>
      </w:tr>
      <w:tr w:rsidR="00D5166D">
        <w:trPr>
          <w:trHeight w:val="260"/>
        </w:trPr>
        <w:tc>
          <w:tcPr>
            <w:tcW w:w="211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sqft_lot15</w:t>
            </w:r>
          </w:p>
        </w:tc>
        <w:tc>
          <w:tcPr>
            <w:tcW w:w="7935" w:type="dxa"/>
          </w:tcPr>
          <w:p w:rsidR="00D5166D" w:rsidRDefault="0018449F">
            <w:pPr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square footage of the land lots of the nearest 15 neighbors </w:t>
            </w:r>
          </w:p>
        </w:tc>
      </w:tr>
    </w:tbl>
    <w:p w:rsidR="00D5166D" w:rsidRDefault="00D5166D">
      <w:pPr>
        <w:rPr>
          <w:sz w:val="22"/>
          <w:szCs w:val="22"/>
        </w:rPr>
      </w:pPr>
    </w:p>
    <w:p w:rsidR="00D5166D" w:rsidRDefault="0018449F">
      <w:pPr>
        <w:rPr>
          <w:b/>
          <w:sz w:val="22"/>
          <w:szCs w:val="22"/>
        </w:rPr>
      </w:pPr>
      <w:r>
        <w:rPr>
          <w:b/>
          <w:sz w:val="22"/>
          <w:szCs w:val="22"/>
        </w:rPr>
        <w:t>Expected Findings</w:t>
      </w:r>
    </w:p>
    <w:p w:rsidR="00D5166D" w:rsidRDefault="0018449F">
      <w:pPr>
        <w:numPr>
          <w:ilvl w:val="0"/>
          <w:numId w:val="1"/>
        </w:numPr>
        <w:spacing w:after="160"/>
        <w:ind w:hanging="360"/>
        <w:rPr>
          <w:sz w:val="22"/>
          <w:szCs w:val="22"/>
        </w:rPr>
      </w:pPr>
      <w:bookmarkStart w:id="1" w:name="_gjdgxs" w:colFirst="0" w:colLast="0"/>
      <w:bookmarkEnd w:id="1"/>
      <w:r>
        <w:rPr>
          <w:sz w:val="22"/>
          <w:szCs w:val="22"/>
        </w:rPr>
        <w:t>Observe upward trend of house price over time</w:t>
      </w:r>
    </w:p>
    <w:p w:rsidR="00D5166D" w:rsidRDefault="0018449F">
      <w:pPr>
        <w:numPr>
          <w:ilvl w:val="0"/>
          <w:numId w:val="1"/>
        </w:numPr>
        <w:spacing w:after="160"/>
        <w:ind w:hanging="360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>Square footage would impact the house price significantly</w:t>
      </w:r>
    </w:p>
    <w:p w:rsidR="00D5166D" w:rsidRDefault="0018449F">
      <w:pPr>
        <w:numPr>
          <w:ilvl w:val="0"/>
          <w:numId w:val="1"/>
        </w:numPr>
        <w:spacing w:after="160"/>
        <w:ind w:hanging="360"/>
        <w:rPr>
          <w:b/>
          <w:sz w:val="22"/>
          <w:szCs w:val="22"/>
        </w:rPr>
      </w:pPr>
      <w:r>
        <w:rPr>
          <w:sz w:val="22"/>
          <w:szCs w:val="22"/>
        </w:rPr>
        <w:t>The higher index of view, condition or grade may lead to higher house price</w:t>
      </w:r>
    </w:p>
    <w:sectPr w:rsidR="00D5166D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49F" w:rsidRDefault="0018449F">
      <w:r>
        <w:separator/>
      </w:r>
    </w:p>
  </w:endnote>
  <w:endnote w:type="continuationSeparator" w:id="0">
    <w:p w:rsidR="0018449F" w:rsidRDefault="00184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49F" w:rsidRDefault="0018449F">
      <w:r>
        <w:separator/>
      </w:r>
    </w:p>
  </w:footnote>
  <w:footnote w:type="continuationSeparator" w:id="0">
    <w:p w:rsidR="0018449F" w:rsidRDefault="00184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66D" w:rsidRDefault="0018449F">
    <w:pPr>
      <w:spacing w:before="709"/>
    </w:pPr>
    <w:r>
      <w:t>Team 9</w:t>
    </w:r>
    <w:r>
      <w:tab/>
    </w:r>
    <w:r>
      <w:tab/>
    </w:r>
    <w:r>
      <w:tab/>
    </w:r>
    <w:r>
      <w:tab/>
    </w:r>
    <w:r>
      <w:tab/>
      <w:t xml:space="preserve">  Yang Men, Rujun Dai, Xin Yu, Lan Yan, </w:t>
    </w:r>
    <w:proofErr w:type="spellStart"/>
    <w:r>
      <w:t>Siqi</w:t>
    </w:r>
    <w:proofErr w:type="spellEnd"/>
    <w:r>
      <w:t xml:space="preserve"> 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694"/>
    <w:multiLevelType w:val="multilevel"/>
    <w:tmpl w:val="9E06C0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5166D"/>
    <w:rsid w:val="0018449F"/>
    <w:rsid w:val="002456D7"/>
    <w:rsid w:val="00D5166D"/>
    <w:rsid w:val="00E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AA95"/>
  <w15:docId w15:val="{9F7857FB-25E2-4164-BBB3-766C8EEB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2B88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2B8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2B88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2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harlfoxem/housesalespred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Men Yang</cp:lastModifiedBy>
  <cp:revision>4</cp:revision>
  <dcterms:created xsi:type="dcterms:W3CDTF">2017-03-26T00:13:00Z</dcterms:created>
  <dcterms:modified xsi:type="dcterms:W3CDTF">2017-03-26T00:16:00Z</dcterms:modified>
</cp:coreProperties>
</file>