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52"/>
        <w:gridCol w:w="8352"/>
      </w:tblGrid>
      <w:tr>
        <w:tc>
          <w:tcPr>
            <w:tcW w:type="dxa" w:w="1152"/>
            <w:shd w:fill="113E6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NT</w:t>
            </w:r>
          </w:p>
        </w:tc>
        <w:tc>
          <w:tcPr>
            <w:tcW w:type="dxa" w:w="8352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113E60"/>
                <w:sz w:val="20"/>
              </w:rPr>
              <w:t>NT TOOL</w:t>
            </w:r>
            <w:r>
              <w:rPr>
                <w:rFonts w:ascii="Arial" w:hAnsi="Arial"/>
                <w:color w:val="667788"/>
                <w:sz w:val="18"/>
              </w:rPr>
              <w:br/>
              <w:t>Quotation Follow-up</w:t>
            </w:r>
          </w:p>
        </w:tc>
      </w:tr>
    </w:tbl>
    <w:p/>
    <w:p/>
    <w:p/>
    <w:p>
      <w:pPr>
        <w:spacing w:before="160" w:after="80"/>
      </w:pPr>
      <w:r>
        <w:rPr>
          <w:rFonts w:ascii="Arial" w:hAnsi="Arial"/>
          <w:b/>
          <w:color w:val="1683C4"/>
          <w:sz w:val="17"/>
        </w:rPr>
        <w:t>MANUAL PARA USUARIOS</w:t>
      </w:r>
    </w:p>
    <w:p>
      <w:pPr>
        <w:pStyle w:val="Title"/>
        <w:jc w:val="left"/>
      </w:pPr>
      <w:r>
        <w:t>Manual de usuario de seguimiento de cotizaciones</w:t>
      </w:r>
    </w:p>
    <w:p>
      <w:pPr>
        <w:spacing w:after="400"/>
      </w:pPr>
      <w:r>
        <w:rPr>
          <w:rFonts w:ascii="Arial" w:hAnsi="Arial"/>
          <w:color w:val="113E60"/>
          <w:sz w:val="30"/>
        </w:rPr>
        <w:t>Follow Up Quotations USD y Special Quotations JPY</w:t>
      </w:r>
    </w:p>
    <w:p>
      <w:r>
        <w:rPr>
          <w:rFonts w:ascii="Arial" w:hAnsi="Arial"/>
        </w:rPr>
        <w:t>Guía breve para consultar, filtrar y dar seguimiento a cotizaciones, registrar resultados y generar reportes sin utilizar funciones administrativas.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464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1728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2592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Actualizado</w:t>
            </w:r>
          </w:p>
        </w:tc>
      </w:tr>
      <w:tr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9"/>
              </w:rPr>
              <w:t>Usuario normal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1.0</w:t>
            </w:r>
          </w:p>
        </w:tc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18/09/2026</w:t>
            </w:r>
          </w:p>
        </w:tc>
      </w:tr>
    </w:tbl>
    <w:p>
      <w:pPr>
        <w:spacing w:after="0"/>
      </w:pPr>
    </w:p>
    <w:p>
      <w:pPr>
        <w:spacing w:before="480"/>
      </w:pPr>
      <w:r>
        <w:rPr>
          <w:rFonts w:ascii="Arial" w:hAnsi="Arial"/>
          <w:b/>
          <w:color w:val="667788"/>
          <w:sz w:val="18"/>
        </w:rPr>
        <w:t>Aplicación en línea</w:t>
      </w:r>
    </w:p>
    <w:p>
      <w:hyperlink r:id="rId11">
        <w:r>
          <w:rPr>
            <w:color w:val="1683C4"/>
            <w:u w:val="single"/>
          </w:rPr>
          <w:t>https://seguimientocotizaciones-nt.up.railway.app/</w:t>
        </w:r>
      </w:hyperlink>
    </w:p>
    <w:p>
      <w:r>
        <w:br w:type="page"/>
      </w:r>
    </w:p>
    <w:p>
      <w:pPr>
        <w:pStyle w:val="Heading1"/>
      </w:pPr>
      <w:r>
        <w:t>1 Acceso y primeros pasos</w:t>
      </w:r>
    </w:p>
    <w:p>
      <w:r>
        <w:rPr>
          <w:rFonts w:ascii="Arial" w:hAnsi="Arial"/>
        </w:rPr>
        <w:t>Cada persona debe iniciar sesión con su propio usuario. La actividad registrada y los reportes personales se asocian con esa cuenta.</w:t>
      </w:r>
    </w:p>
    <w:p>
      <w:pPr>
        <w:pStyle w:val="Heading2"/>
      </w:pPr>
      <w:r>
        <w:t>Inicio de sesión</w:t>
      </w:r>
    </w:p>
    <w:p>
      <w:pPr>
        <w:spacing w:after="60"/>
        <w:ind w:left="346" w:hanging="346"/>
      </w:pPr>
      <w:r>
        <w:rPr>
          <w:rFonts w:ascii="Arial" w:hAnsi="Arial"/>
        </w:rPr>
        <w:t>1.  Abra la liga de la aplicación en Chrome, Edge o Brave.</w:t>
      </w:r>
    </w:p>
    <w:p>
      <w:pPr>
        <w:spacing w:after="60"/>
        <w:ind w:left="346" w:hanging="346"/>
      </w:pPr>
      <w:r>
        <w:rPr>
          <w:rFonts w:ascii="Arial" w:hAnsi="Arial"/>
        </w:rPr>
        <w:t>2.  Escriba su usuario y contraseña.</w:t>
      </w:r>
    </w:p>
    <w:p>
      <w:pPr>
        <w:spacing w:after="60"/>
        <w:ind w:left="346" w:hanging="346"/>
      </w:pPr>
      <w:r>
        <w:rPr>
          <w:rFonts w:ascii="Arial" w:hAnsi="Arial"/>
        </w:rPr>
        <w:t>3.  Seleccione English o Español antes de entrar. El idioma también se puede cambiar dentro de la aplicación.</w:t>
      </w:r>
    </w:p>
    <w:p>
      <w:pPr>
        <w:spacing w:after="60"/>
        <w:ind w:left="346" w:hanging="346"/>
      </w:pPr>
      <w:r>
        <w:rPr>
          <w:rFonts w:ascii="Arial" w:hAnsi="Arial"/>
        </w:rPr>
        <w:t>4.  Si recibió una contraseña temporal, cámbiela cuando el sistema lo solicite.</w:t>
      </w:r>
    </w:p>
    <w:p>
      <w:pPr>
        <w:pStyle w:val="Heading2"/>
      </w:pPr>
      <w:r>
        <w:t>Seleccione el espacio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Espacio</w:t>
            </w:r>
          </w:p>
        </w:tc>
        <w:tc>
          <w:tcPr>
            <w:tcW w:type="dxa" w:w="5328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  <w:tc>
          <w:tcPr>
            <w:tcW w:type="dxa" w:w="1152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Moneda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Follow Up Quotations</w:t>
            </w:r>
          </w:p>
        </w:tc>
        <w:tc>
          <w:tcPr>
            <w:tcW w:type="dxa" w:w="53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Cotizaciones del Excel diario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USD</w:t>
            </w:r>
          </w:p>
        </w:tc>
      </w:tr>
      <w:tr>
        <w:tc>
          <w:tcPr>
            <w:tcW w:type="dxa" w:w="28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Special Quotations</w:t>
            </w:r>
          </w:p>
        </w:tc>
        <w:tc>
          <w:tcPr>
            <w:tcW w:type="dxa" w:w="5328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Artículos especiales del Excel</w:t>
            </w:r>
          </w:p>
        </w:tc>
        <w:tc>
          <w:tcPr>
            <w:tcW w:type="dxa" w:w="1152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JPY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Importante:</w:t>
      </w:r>
      <w:r>
        <w:rPr>
          <w:rFonts w:ascii="Arial" w:hAnsi="Arial"/>
        </w:rPr>
        <w:t xml:space="preserve"> USD y JPY permanecen separados. La aplicación no convierte monedas.</w:t>
      </w:r>
    </w:p>
    <w:p>
      <w:pPr>
        <w:pStyle w:val="Heading2"/>
      </w:pPr>
      <w:r>
        <w:t>Controles superiores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48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Agente NT Tool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Filtra el panel y las listas por agente.</w:t>
            </w:r>
          </w:p>
        </w:tc>
      </w:tr>
      <w:tr>
        <w:tc>
          <w:tcPr>
            <w:tcW w:type="dxa" w:w="28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Idioma</w:t>
            </w:r>
          </w:p>
        </w:tc>
        <w:tc>
          <w:tcPr>
            <w:tcW w:type="dxa" w:w="64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Cambia la interfaz sin cambiar la información.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Subir Excel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Abre la importación con vista previa.</w:t>
            </w:r>
          </w:p>
        </w:tc>
      </w:tr>
      <w:tr>
        <w:tc>
          <w:tcPr>
            <w:tcW w:type="dxa" w:w="28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Cambiar contraseña</w:t>
            </w:r>
          </w:p>
        </w:tc>
        <w:tc>
          <w:tcPr>
            <w:tcW w:type="dxa" w:w="64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Actualiza la contraseña personal.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Cerrar sesión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Finaliza la sesión de forma segura.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 Panel, prioridades y búsqueda</w:t>
      </w:r>
    </w:p>
    <w:p>
      <w:r>
        <w:rPr>
          <w:rFonts w:ascii="Arial" w:hAnsi="Arial"/>
        </w:rPr>
        <w:t>El Resumen muestra la situación actual del espacio seleccionado: cotizaciones pendientes, PO, prioridades, nuevas cotizaciones del día y seguimientos vencidos.</w:t>
      </w:r>
    </w:p>
    <w:p>
      <w:pPr>
        <w:pStyle w:val="Heading2"/>
      </w:pPr>
      <w:r>
        <w:t>Indicadores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6336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Agregadas hoy</w:t>
            </w:r>
          </w:p>
        </w:tc>
        <w:tc>
          <w:tcPr>
            <w:tcW w:type="dxa" w:w="63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Registros nuevos incorporados mediante una importación confirmada.</w:t>
            </w:r>
          </w:p>
        </w:tc>
      </w:tr>
      <w:tr>
        <w:tc>
          <w:tcPr>
            <w:tcW w:type="dxa" w:w="3024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Pendiente</w:t>
            </w:r>
          </w:p>
        </w:tc>
        <w:tc>
          <w:tcPr>
            <w:tcW w:type="dxa" w:w="6336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Cotizaciones activas que aún no son PO ni pérdida.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Seguimientos vencidos</w:t>
            </w:r>
          </w:p>
        </w:tc>
        <w:tc>
          <w:tcPr>
            <w:tcW w:type="dxa" w:w="63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Pendientes no seguras con más de 15 días sin una revisión guardada.</w:t>
            </w:r>
          </w:p>
        </w:tc>
      </w:tr>
      <w:tr>
        <w:tc>
          <w:tcPr>
            <w:tcW w:type="dxa" w:w="3024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PO de hoy</w:t>
            </w:r>
          </w:p>
        </w:tc>
        <w:tc>
          <w:tcPr>
            <w:tcW w:type="dxa" w:w="6336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Cotizaciones cambiadas a PO hoy, sin importar la fecha de la factura.</w:t>
            </w:r>
          </w:p>
        </w:tc>
      </w:tr>
    </w:tbl>
    <w:p>
      <w:pPr>
        <w:spacing w:after="0"/>
      </w:pPr>
    </w:p>
    <w:p>
      <w:pPr>
        <w:pStyle w:val="Heading2"/>
      </w:pPr>
      <w:r>
        <w:t>Clasificación SABC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888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Follow Up Quotations</w:t>
            </w:r>
          </w:p>
        </w:tc>
        <w:tc>
          <w:tcPr>
            <w:tcW w:type="dxa" w:w="3888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Special Quotations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S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USD 5,001 o más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10% de mayor precio</w:t>
            </w:r>
          </w:p>
        </w:tc>
      </w:tr>
      <w:tr>
        <w:tc>
          <w:tcPr>
            <w:tcW w:type="dxa" w:w="144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A</w:t>
            </w:r>
          </w:p>
        </w:tc>
        <w:tc>
          <w:tcPr>
            <w:tcW w:type="dxa" w:w="3888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USD 1,001 a 5,000</w:t>
            </w:r>
          </w:p>
        </w:tc>
        <w:tc>
          <w:tcPr>
            <w:tcW w:type="dxa" w:w="3888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Percentiles 11 a 30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B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USD 501 a 1,000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Percentiles 31 a 60</w:t>
            </w:r>
          </w:p>
        </w:tc>
      </w:tr>
      <w:tr>
        <w:tc>
          <w:tcPr>
            <w:tcW w:type="dxa" w:w="144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C</w:t>
            </w:r>
          </w:p>
        </w:tc>
        <w:tc>
          <w:tcPr>
            <w:tcW w:type="dxa" w:w="3888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USD 0 a 500</w:t>
            </w:r>
          </w:p>
        </w:tc>
        <w:tc>
          <w:tcPr>
            <w:tcW w:type="dxa" w:w="3888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Percentiles 61 a 100</w:t>
            </w:r>
          </w:p>
        </w:tc>
      </w:tr>
    </w:tbl>
    <w:p>
      <w:pPr>
        <w:spacing w:after="0"/>
      </w:pPr>
    </w:p>
    <w:p>
      <w:pPr>
        <w:pStyle w:val="Heading2"/>
      </w:pPr>
      <w:r>
        <w:t>Buscar filtrar y ordenar</w:t>
      </w:r>
    </w:p>
    <w:p>
      <w:pPr>
        <w:pStyle w:val="ListBullet"/>
      </w:pPr>
      <w:r>
        <w:rPr>
          <w:rFonts w:ascii="Arial" w:hAnsi="Arial"/>
        </w:rPr>
        <w:t>Buscar localiza por folio, distribuidor o usuario final.</w:t>
      </w:r>
    </w:p>
    <w:p>
      <w:pPr>
        <w:pStyle w:val="ListBullet"/>
      </w:pPr>
      <w:r>
        <w:rPr>
          <w:rFonts w:ascii="Arial" w:hAnsi="Arial"/>
        </w:rPr>
        <w:t>Prioridad limita la lista a S, A, B o C.</w:t>
      </w:r>
    </w:p>
    <w:p>
      <w:pPr>
        <w:pStyle w:val="ListBullet"/>
      </w:pPr>
      <w:r>
        <w:rPr>
          <w:rFonts w:ascii="Arial" w:hAnsi="Arial"/>
        </w:rPr>
        <w:t>Rank aparece en Special Quotations y filtra por rango del Excel.</w:t>
      </w:r>
    </w:p>
    <w:p>
      <w:pPr>
        <w:pStyle w:val="ListBullet"/>
      </w:pPr>
      <w:r>
        <w:rPr>
          <w:rFonts w:ascii="Arial" w:hAnsi="Arial"/>
        </w:rPr>
        <w:t>Ordenar por permite prioridad, fecha, número de cotización o importe, en ambos sentidos.</w:t>
      </w:r>
    </w:p>
    <w:p>
      <w:pPr>
        <w:pStyle w:val="ListBullet"/>
      </w:pPr>
      <w:r>
        <w:rPr>
          <w:rFonts w:ascii="Arial" w:hAnsi="Arial"/>
        </w:rPr>
        <w:t>El botón junto al encabezado puede ocultar la navegación lateral para ver más columnas.</w:t>
      </w:r>
    </w:p>
    <w:p>
      <w:r>
        <w:br w:type="page"/>
      </w:r>
    </w:p>
    <w:p>
      <w:pPr>
        <w:pStyle w:val="Heading1"/>
      </w:pPr>
      <w:r>
        <w:t>3 Importación diaria de Excel</w:t>
      </w:r>
    </w:p>
    <w:p>
      <w:r>
        <w:rPr>
          <w:rFonts w:ascii="Arial" w:hAnsi="Arial"/>
        </w:rPr>
        <w:t>Subir un Excel repetido no duplica los registros. La vista previa compara el archivo con la base actual y separa registros nuevos, actualizados y sin cambios.</w:t>
      </w:r>
    </w:p>
    <w:p>
      <w:pPr>
        <w:pStyle w:val="Heading2"/>
      </w:pPr>
      <w:r>
        <w:t>Procedimiento</w:t>
      </w:r>
    </w:p>
    <w:p>
      <w:pPr>
        <w:spacing w:after="60"/>
        <w:ind w:left="346" w:hanging="346"/>
      </w:pPr>
      <w:r>
        <w:rPr>
          <w:rFonts w:ascii="Arial" w:hAnsi="Arial"/>
        </w:rPr>
        <w:t>1.  Confirme que está en el espacio de trabajo correcto.</w:t>
      </w:r>
    </w:p>
    <w:p>
      <w:pPr>
        <w:spacing w:after="60"/>
        <w:ind w:left="346" w:hanging="346"/>
      </w:pPr>
      <w:r>
        <w:rPr>
          <w:rFonts w:ascii="Arial" w:hAnsi="Arial"/>
        </w:rPr>
        <w:t>2.  Seleccione Subir Excel y elija el archivo correspondiente.</w:t>
      </w:r>
    </w:p>
    <w:p>
      <w:pPr>
        <w:spacing w:after="60"/>
        <w:ind w:left="346" w:hanging="346"/>
      </w:pPr>
      <w:r>
        <w:rPr>
          <w:rFonts w:ascii="Arial" w:hAnsi="Arial"/>
        </w:rPr>
        <w:t>3.  Presione Vista previa. Todavía no se guardan cambios.</w:t>
      </w:r>
    </w:p>
    <w:p>
      <w:pPr>
        <w:spacing w:after="60"/>
        <w:ind w:left="346" w:hanging="346"/>
      </w:pPr>
      <w:r>
        <w:rPr>
          <w:rFonts w:ascii="Arial" w:hAnsi="Arial"/>
        </w:rPr>
        <w:t>4.  Revise Filas, Nuevas, Actualizadas, Sin cambios, Duplicadas, Archivadas u ocultas e Inválidas.</w:t>
      </w:r>
    </w:p>
    <w:p>
      <w:pPr>
        <w:spacing w:after="60"/>
        <w:ind w:left="346" w:hanging="346"/>
      </w:pPr>
      <w:r>
        <w:rPr>
          <w:rFonts w:ascii="Arial" w:hAnsi="Arial"/>
        </w:rPr>
        <w:t>5.  Si el resultado es correcto, presione Confirmar importación una sola vez.</w:t>
      </w:r>
    </w:p>
    <w:p>
      <w:pPr>
        <w:spacing w:after="60"/>
        <w:ind w:left="346" w:hanging="346"/>
      </w:pPr>
      <w:r>
        <w:rPr>
          <w:rFonts w:ascii="Arial" w:hAnsi="Arial"/>
        </w:rPr>
        <w:t>6.  Espere el mensaje de importación completada y revise el Resumen.</w:t>
      </w:r>
    </w:p>
    <w:p>
      <w:r>
        <w:rPr>
          <w:rFonts w:ascii="Arial" w:hAnsi="Arial"/>
          <w:b/>
        </w:rPr>
        <w:t>Si aparecen filas inválidas,</w:t>
      </w:r>
      <w:r>
        <w:rPr>
          <w:rFonts w:ascii="Arial" w:hAnsi="Arial"/>
        </w:rPr>
        <w:t xml:space="preserve"> corrija primero el Excel y repita la vista previa. No confirme una importación cuyo resultado no reconozca.</w:t>
      </w:r>
    </w:p>
    <w:p>
      <w:pPr>
        <w:pStyle w:val="Heading2"/>
      </w:pPr>
      <w:r>
        <w:t>Columnas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Espacio</w:t>
            </w:r>
          </w:p>
        </w:tc>
        <w:tc>
          <w:tcPr>
            <w:tcW w:type="dxa" w:w="648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Columnas leídas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Follow Up Quotations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A fecha; B serie; C folio; D distribuidor; E total con impuestos; F usuario final; G agente distribuidor; I orden del cliente; J agente NT Tool; K total neto interno.</w:t>
            </w:r>
          </w:p>
        </w:tc>
      </w:tr>
      <w:tr>
        <w:tc>
          <w:tcPr>
            <w:tcW w:type="dxa" w:w="28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Special Quotations</w:t>
            </w:r>
          </w:p>
        </w:tc>
        <w:tc>
          <w:tcPr>
            <w:tcW w:type="dxa" w:w="64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B fecha; E compañía; F rank; G código; H modelo; I cantidad; J precio unitario; AA agente NT Tool.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 Consultar y guardar un seguimiento</w:t>
      </w:r>
    </w:p>
    <w:p>
      <w:r>
        <w:rPr>
          <w:rFonts w:ascii="Arial" w:hAnsi="Arial"/>
        </w:rPr>
        <w:t>En las listas, Ver abre los detalles sin modificar el registro. Gestionar abre el formulario de seguimiento.</w:t>
      </w:r>
    </w:p>
    <w:p>
      <w:pPr>
        <w:pStyle w:val="Heading2"/>
      </w:pPr>
      <w:r>
        <w:t>Ver</w:t>
      </w:r>
    </w:p>
    <w:p>
      <w:pPr>
        <w:pStyle w:val="ListBullet"/>
      </w:pPr>
      <w:r>
        <w:rPr>
          <w:rFonts w:ascii="Arial" w:hAnsi="Arial"/>
        </w:rPr>
        <w:t>Muestra datos de la cotización, comentarios, facturas de PO e historial de actividad.</w:t>
      </w:r>
    </w:p>
    <w:p>
      <w:pPr>
        <w:pStyle w:val="ListBullet"/>
      </w:pPr>
      <w:r>
        <w:rPr>
          <w:rFonts w:ascii="Arial" w:hAnsi="Arial"/>
        </w:rPr>
        <w:t>Series y el total neto interno aparecen aquí, aunque no se muestren en la lista.</w:t>
      </w:r>
    </w:p>
    <w:p>
      <w:pPr>
        <w:pStyle w:val="ListBullet"/>
      </w:pPr>
      <w:r>
        <w:rPr>
          <w:rFonts w:ascii="Arial" w:hAnsi="Arial"/>
        </w:rPr>
        <w:t>Abrir Ver no cuenta como una revisión.</w:t>
      </w:r>
    </w:p>
    <w:p>
      <w:pPr>
        <w:pStyle w:val="Heading2"/>
      </w:pPr>
      <w:r>
        <w:t>Gestionar</w:t>
      </w:r>
    </w:p>
    <w:p>
      <w:pPr>
        <w:spacing w:after="60"/>
        <w:ind w:left="346" w:hanging="346"/>
      </w:pPr>
      <w:r>
        <w:rPr>
          <w:rFonts w:ascii="Arial" w:hAnsi="Arial"/>
        </w:rPr>
        <w:t>1.  Revise los datos de la cotización.</w:t>
      </w:r>
    </w:p>
    <w:p>
      <w:pPr>
        <w:spacing w:after="60"/>
        <w:ind w:left="346" w:hanging="346"/>
      </w:pPr>
      <w:r>
        <w:rPr>
          <w:rFonts w:ascii="Arial" w:hAnsi="Arial"/>
        </w:rPr>
        <w:t>2.  Seleccione Estado: Pending, PO o Lost.</w:t>
      </w:r>
    </w:p>
    <w:p>
      <w:pPr>
        <w:spacing w:after="60"/>
        <w:ind w:left="346" w:hanging="346"/>
      </w:pPr>
      <w:r>
        <w:rPr>
          <w:rFonts w:ascii="Arial" w:hAnsi="Arial"/>
        </w:rPr>
        <w:t>3.  Seleccione el método de seguimiento: E-mail, Call o Visit.</w:t>
      </w:r>
    </w:p>
    <w:p>
      <w:pPr>
        <w:spacing w:after="60"/>
        <w:ind w:left="346" w:hanging="346"/>
      </w:pPr>
      <w:r>
        <w:rPr>
          <w:rFonts w:ascii="Arial" w:hAnsi="Arial"/>
        </w:rPr>
        <w:t>4.  Complete los campos que aparezcan para ese estado.</w:t>
      </w:r>
    </w:p>
    <w:p>
      <w:pPr>
        <w:spacing w:after="60"/>
        <w:ind w:left="346" w:hanging="346"/>
      </w:pPr>
      <w:r>
        <w:rPr>
          <w:rFonts w:ascii="Arial" w:hAnsi="Arial"/>
        </w:rPr>
        <w:t>5.  Presione Guardar revisión.</w:t>
      </w:r>
    </w:p>
    <w:p>
      <w:r>
        <w:rPr>
          <w:rFonts w:ascii="Arial" w:hAnsi="Arial"/>
          <w:b/>
        </w:rPr>
        <w:t>Una revisión</w:t>
      </w:r>
      <w:r>
        <w:rPr>
          <w:rFonts w:ascii="Arial" w:hAnsi="Arial"/>
        </w:rPr>
        <w:t xml:space="preserve"> se cuenta cuando se guarda Manage, aunque el estado no cambie. Los comentarios guardados son permanentes y los comentarios nuevos se agregan al historial; no sustituyen los anteriores.</w:t>
      </w:r>
    </w:p>
    <w:p>
      <w:pPr>
        <w:pStyle w:val="Heading2"/>
      </w:pPr>
      <w:r>
        <w:t>Resultado de cada estado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32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Qué debe completar</w:t>
            </w:r>
          </w:p>
        </w:tc>
        <w:tc>
          <w:tcPr>
            <w:tcW w:type="dxa" w:w="360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Pending</w:t>
            </w:r>
          </w:p>
        </w:tc>
        <w:tc>
          <w:tcPr>
            <w:tcW w:type="dxa" w:w="43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Método y comentario de seguimiento. Puede marcar Segura.</w:t>
            </w:r>
          </w:p>
        </w:tc>
        <w:tc>
          <w:tcPr>
            <w:tcW w:type="dxa" w:w="36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Permanece activa.</w:t>
            </w:r>
          </w:p>
        </w:tc>
      </w:tr>
      <w:tr>
        <w:tc>
          <w:tcPr>
            <w:tcW w:type="dxa" w:w="144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Lost</w:t>
            </w:r>
          </w:p>
        </w:tc>
        <w:tc>
          <w:tcPr>
            <w:tcW w:type="dxa" w:w="432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Método, motivo de pérdida y comentario recomendado.</w:t>
            </w:r>
          </w:p>
        </w:tc>
        <w:tc>
          <w:tcPr>
            <w:tcW w:type="dxa" w:w="360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Pasa a Perdidas o Lost.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PO</w:t>
            </w:r>
          </w:p>
        </w:tc>
        <w:tc>
          <w:tcPr>
            <w:tcW w:type="dxa" w:w="43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Método y una o más facturas.</w:t>
            </w:r>
          </w:p>
        </w:tc>
        <w:tc>
          <w:tcPr>
            <w:tcW w:type="dxa" w:w="36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Pasa a PO; total y fecha se calculan.</w:t>
            </w:r>
          </w:p>
        </w:tc>
      </w:tr>
    </w:tbl>
    <w:p>
      <w:pPr>
        <w:spacing w:after="0"/>
      </w:pPr>
    </w:p>
    <w:p>
      <w:r>
        <w:rPr>
          <w:rFonts w:ascii="Arial" w:hAnsi="Arial"/>
        </w:rPr>
        <w:t>Motivos de pérdida disponibles: Lead Time, Over Budget, Window Shopping, Project Cancelled y Mismatch.</w:t>
      </w:r>
    </w:p>
    <w:p>
      <w:r>
        <w:br w:type="page"/>
      </w:r>
    </w:p>
    <w:p>
      <w:pPr>
        <w:pStyle w:val="Heading1"/>
      </w:pPr>
      <w:r>
        <w:t>5 Registrar una PO y sus facturas</w:t>
      </w:r>
    </w:p>
    <w:p>
      <w:r>
        <w:rPr>
          <w:rFonts w:ascii="Arial" w:hAnsi="Arial"/>
        </w:rPr>
        <w:t>Una PO puede estar formada por una sola factura o por varias. Cada factura se registra por separado y la aplicación calcula el resultado consolidado.</w:t>
      </w:r>
    </w:p>
    <w:p>
      <w:pPr>
        <w:pStyle w:val="Heading2"/>
      </w:pPr>
      <w:r>
        <w:t>Datos de cada factura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592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Ejemplo genérico</w:t>
            </w:r>
          </w:p>
        </w:tc>
        <w:tc>
          <w:tcPr>
            <w:tcW w:type="dxa" w:w="432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Fecha de factura</w:t>
            </w:r>
          </w:p>
        </w:tc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15/09/2026</w:t>
            </w:r>
          </w:p>
        </w:tc>
        <w:tc>
          <w:tcPr>
            <w:tcW w:type="dxa" w:w="43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Fecha real de la factura.</w:t>
            </w:r>
          </w:p>
        </w:tc>
      </w:tr>
      <w:tr>
        <w:tc>
          <w:tcPr>
            <w:tcW w:type="dxa" w:w="2448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Serie o folio</w:t>
            </w:r>
          </w:p>
        </w:tc>
        <w:tc>
          <w:tcPr>
            <w:tcW w:type="dxa" w:w="2592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IV</w:t>
            </w:r>
          </w:p>
        </w:tc>
        <w:tc>
          <w:tcPr>
            <w:tcW w:type="dxa" w:w="432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Serie utilizada por la factura.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Número o código</w:t>
            </w:r>
          </w:p>
        </w:tc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000123</w:t>
            </w:r>
          </w:p>
        </w:tc>
        <w:tc>
          <w:tcPr>
            <w:tcW w:type="dxa" w:w="43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Identificador individual.</w:t>
            </w:r>
          </w:p>
        </w:tc>
      </w:tr>
      <w:tr>
        <w:tc>
          <w:tcPr>
            <w:tcW w:type="dxa" w:w="2448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Importe</w:t>
            </w:r>
          </w:p>
        </w:tc>
        <w:tc>
          <w:tcPr>
            <w:tcW w:type="dxa" w:w="2592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1,250.00</w:t>
            </w:r>
          </w:p>
        </w:tc>
        <w:tc>
          <w:tcPr>
            <w:tcW w:type="dxa" w:w="432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USD o JPY según el espacio.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pPr>
        <w:spacing w:after="60"/>
        <w:ind w:left="346" w:hanging="346"/>
      </w:pPr>
      <w:r>
        <w:rPr>
          <w:rFonts w:ascii="Arial" w:hAnsi="Arial"/>
        </w:rPr>
        <w:t>1.  En Gestionar, cambie Estado a PO y seleccione el método de seguimiento.</w:t>
      </w:r>
    </w:p>
    <w:p>
      <w:pPr>
        <w:spacing w:after="60"/>
        <w:ind w:left="346" w:hanging="346"/>
      </w:pPr>
      <w:r>
        <w:rPr>
          <w:rFonts w:ascii="Arial" w:hAnsi="Arial"/>
        </w:rPr>
        <w:t>2.  Capture los cuatro datos de la primera factura.</w:t>
      </w:r>
    </w:p>
    <w:p>
      <w:pPr>
        <w:spacing w:after="60"/>
        <w:ind w:left="346" w:hanging="346"/>
      </w:pPr>
      <w:r>
        <w:rPr>
          <w:rFonts w:ascii="Arial" w:hAnsi="Arial"/>
        </w:rPr>
        <w:t>3.  Si existen más facturas, seleccione Agregar factura y capture cada una.</w:t>
      </w:r>
    </w:p>
    <w:p>
      <w:pPr>
        <w:spacing w:after="60"/>
        <w:ind w:left="346" w:hanging="346"/>
      </w:pPr>
      <w:r>
        <w:rPr>
          <w:rFonts w:ascii="Arial" w:hAnsi="Arial"/>
        </w:rPr>
        <w:t>4.  Compruebe el Total de PO mostrado al final.</w:t>
      </w:r>
    </w:p>
    <w:p>
      <w:pPr>
        <w:spacing w:after="60"/>
        <w:ind w:left="346" w:hanging="346"/>
      </w:pPr>
      <w:r>
        <w:rPr>
          <w:rFonts w:ascii="Arial" w:hAnsi="Arial"/>
        </w:rPr>
        <w:t>5.  Presione Guardar revisión.</w:t>
      </w:r>
    </w:p>
    <w:p>
      <w:r>
        <w:rPr>
          <w:rFonts w:ascii="Arial" w:hAnsi="Arial"/>
        </w:rPr>
        <w:t>El Total de PO es la suma de todas las facturas. La fecha de PO es la fecha más reciente entre las facturas registradas. La aplicación registra automáticamente la operación; por eso el estado PO no muestra un campo de comentario manual.</w:t>
      </w:r>
    </w:p>
    <w:p>
      <w:pPr>
        <w:pStyle w:val="Heading2"/>
      </w:pPr>
      <w:r>
        <w:t>PO sin fecha</w:t>
      </w:r>
    </w:p>
    <w:p>
      <w:r>
        <w:rPr>
          <w:rFonts w:ascii="Arial" w:hAnsi="Arial"/>
        </w:rPr>
        <w:t>En Follow Up Quotations, un registro importado con Orden del cliente pero sin factura permanece Pending y aparece en PO sin fecha. Abra Gestionar, seleccione PO y capture sus facturas para completar el proceso.</w:t>
      </w:r>
    </w:p>
    <w:p>
      <w:r>
        <w:br w:type="page"/>
      </w:r>
    </w:p>
    <w:p>
      <w:pPr>
        <w:pStyle w:val="Heading1"/>
      </w:pPr>
      <w:r>
        <w:t>6 Listas de seguimiento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Lista</w:t>
            </w:r>
          </w:p>
        </w:tc>
        <w:tc>
          <w:tcPr>
            <w:tcW w:type="dxa" w:w="648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Prioridades SABC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Pendientes activas no marcadas como seguras.</w:t>
            </w:r>
          </w:p>
        </w:tc>
      </w:tr>
      <w:tr>
        <w:tc>
          <w:tcPr>
            <w:tcW w:type="dxa" w:w="28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Gestionadas</w:t>
            </w:r>
          </w:p>
        </w:tc>
        <w:tc>
          <w:tcPr>
            <w:tcW w:type="dxa" w:w="64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Cotizaciones que ya tienen una revisión guardada.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Seguras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Pendientes de largo plazo marcadas para no considerarse inactivas.</w:t>
            </w:r>
          </w:p>
        </w:tc>
      </w:tr>
      <w:tr>
        <w:tc>
          <w:tcPr>
            <w:tcW w:type="dxa" w:w="28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PO sin fecha</w:t>
            </w:r>
          </w:p>
        </w:tc>
        <w:tc>
          <w:tcPr>
            <w:tcW w:type="dxa" w:w="64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Solo USD: orden del cliente detectada, pero falta registrar facturas y fecha.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PO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Cotizaciones convertidas, con fecha y total final visibles.</w:t>
            </w:r>
          </w:p>
        </w:tc>
      </w:tr>
      <w:tr>
        <w:tc>
          <w:tcPr>
            <w:tcW w:type="dxa" w:w="28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Perdidas</w:t>
            </w:r>
          </w:p>
        </w:tc>
        <w:tc>
          <w:tcPr>
            <w:tcW w:type="dxa" w:w="64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Cotizaciones perdidas y motivo seleccionado.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Históricas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Solo USD: información anterior conservada como solo lectura.</w:t>
            </w:r>
          </w:p>
        </w:tc>
      </w:tr>
      <w:tr>
        <w:tc>
          <w:tcPr>
            <w:tcW w:type="dxa" w:w="28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Archivo</w:t>
            </w:r>
          </w:p>
        </w:tc>
        <w:tc>
          <w:tcPr>
            <w:tcW w:type="dxa" w:w="64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Solo JPY: registros ocultos o excluidos durante la depuración.</w:t>
            </w:r>
          </w:p>
        </w:tc>
      </w:tr>
    </w:tbl>
    <w:p>
      <w:pPr>
        <w:spacing w:after="0"/>
      </w:pPr>
    </w:p>
    <w:p>
      <w:pPr>
        <w:pStyle w:val="Heading2"/>
      </w:pPr>
      <w:r>
        <w:t>Alertas de 15 días</w:t>
      </w:r>
    </w:p>
    <w:p>
      <w:r>
        <w:rPr>
          <w:rFonts w:ascii="Arial" w:hAnsi="Arial"/>
        </w:rPr>
        <w:t>Una cotización Pending que no sea Segura aparece como seguimiento vencido cuando pasan más de 15 días desde su incorporación o desde la última revisión guardada. Para actualizarla, abra Gestionar, registre el método y el comentario correspondiente, y guarde la revisión.</w:t>
      </w:r>
    </w:p>
    <w:p>
      <w:r>
        <w:rPr>
          <w:rFonts w:ascii="Arial" w:hAnsi="Arial"/>
          <w:b/>
        </w:rPr>
        <w:t>Marcar Segura</w:t>
      </w:r>
      <w:r>
        <w:rPr>
          <w:rFonts w:ascii="Arial" w:hAnsi="Arial"/>
        </w:rPr>
        <w:t xml:space="preserve"> debe reservarse para proyectos que legítimamente requieren un periodo largo. No debe utilizarse únicamente para ocultar una alerta.</w:t>
      </w:r>
    </w:p>
    <w:p>
      <w:r>
        <w:br w:type="page"/>
      </w:r>
    </w:p>
    <w:p>
      <w:pPr>
        <w:pStyle w:val="Heading1"/>
      </w:pPr>
      <w:r>
        <w:t>7 Reportes y cierre de sesión</w:t>
      </w:r>
    </w:p>
    <w:p>
      <w:r>
        <w:rPr>
          <w:rFonts w:ascii="Arial" w:hAnsi="Arial"/>
        </w:rPr>
        <w:t>Cada espacio genera reportes en su propia moneda: Follow Up Quotations en USD y Special Quotations en JPY.</w:t>
      </w:r>
    </w:p>
    <w:p>
      <w:pPr>
        <w:pStyle w:val="Heading2"/>
      </w:pPr>
      <w:r>
        <w:t>Generar un reporte</w:t>
      </w:r>
    </w:p>
    <w:p>
      <w:pPr>
        <w:spacing w:after="60"/>
        <w:ind w:left="346" w:hanging="346"/>
      </w:pPr>
      <w:r>
        <w:rPr>
          <w:rFonts w:ascii="Arial" w:hAnsi="Arial"/>
        </w:rPr>
        <w:t>1.  Abra Reportes.</w:t>
      </w:r>
    </w:p>
    <w:p>
      <w:pPr>
        <w:spacing w:after="60"/>
        <w:ind w:left="346" w:hanging="346"/>
      </w:pPr>
      <w:r>
        <w:rPr>
          <w:rFonts w:ascii="Arial" w:hAnsi="Arial"/>
        </w:rPr>
        <w:t>2.  Seleccione Diario, Semanal, Mensual o Rango personalizado.</w:t>
      </w:r>
    </w:p>
    <w:p>
      <w:pPr>
        <w:spacing w:after="60"/>
        <w:ind w:left="346" w:hanging="346"/>
      </w:pPr>
      <w:r>
        <w:rPr>
          <w:rFonts w:ascii="Arial" w:hAnsi="Arial"/>
        </w:rPr>
        <w:t>3.  Para Rango personalizado, capture Fecha inicial y Fecha final.</w:t>
      </w:r>
    </w:p>
    <w:p>
      <w:pPr>
        <w:spacing w:after="60"/>
        <w:ind w:left="346" w:hanging="346"/>
      </w:pPr>
      <w:r>
        <w:rPr>
          <w:rFonts w:ascii="Arial" w:hAnsi="Arial"/>
        </w:rPr>
        <w:t>4.  Mantenga Mi actividad para incluir únicamente las operaciones guardadas con su usuario.</w:t>
      </w:r>
    </w:p>
    <w:p>
      <w:pPr>
        <w:spacing w:after="60"/>
        <w:ind w:left="346" w:hanging="346"/>
      </w:pPr>
      <w:r>
        <w:rPr>
          <w:rFonts w:ascii="Arial" w:hAnsi="Arial"/>
        </w:rPr>
        <w:t>5.  Use el filtro de agente si necesita limitar los resultados.</w:t>
      </w:r>
    </w:p>
    <w:p>
      <w:pPr>
        <w:spacing w:after="60"/>
        <w:ind w:left="346" w:hanging="346"/>
      </w:pPr>
      <w:r>
        <w:rPr>
          <w:rFonts w:ascii="Arial" w:hAnsi="Arial"/>
        </w:rPr>
        <w:t>6.  Seleccione Generar reporte y después PDF o Excel.</w:t>
      </w:r>
    </w:p>
    <w:p>
      <w:pPr>
        <w:pStyle w:val="Heading2"/>
      </w:pPr>
      <w:r>
        <w:t>Contenido del reporte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6480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Incluye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Actividad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Nuevas, revisadas, cambios de estado y convertidas a PO.</w:t>
            </w:r>
          </w:p>
        </w:tc>
      </w:tr>
      <w:tr>
        <w:tc>
          <w:tcPr>
            <w:tcW w:type="dxa" w:w="28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Resumen financiero</w:t>
            </w:r>
          </w:p>
        </w:tc>
        <w:tc>
          <w:tcPr>
            <w:tcW w:type="dxa" w:w="64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Pendiente, total cotizado de las PO, total final de PO y diferencia.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Pérdidas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Cantidad y gráfica por motivo de pérdida.</w:t>
            </w:r>
          </w:p>
        </w:tc>
      </w:tr>
      <w:tr>
        <w:tc>
          <w:tcPr>
            <w:tcW w:type="dxa" w:w="28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18"/>
              </w:rPr>
              <w:t>QT contra PO</w:t>
            </w:r>
          </w:p>
        </w:tc>
        <w:tc>
          <w:tcPr>
            <w:tcW w:type="dxa" w:w="6480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  <w:t>Fecha de PO, valor cotizado, valor final y comparación.</w:t>
            </w:r>
          </w:p>
        </w:tc>
      </w:tr>
    </w:tbl>
    <w:p>
      <w:pPr>
        <w:spacing w:after="0"/>
      </w:pPr>
    </w:p>
    <w:p>
      <w:pPr>
        <w:pStyle w:val="Heading2"/>
      </w:pPr>
      <w:r>
        <w:t>Buenas prácticas</w:t>
      </w:r>
    </w:p>
    <w:p>
      <w:pPr>
        <w:pStyle w:val="ListBullet"/>
      </w:pPr>
      <w:r>
        <w:rPr>
          <w:rFonts w:ascii="Arial" w:hAnsi="Arial"/>
        </w:rPr>
        <w:t>Use siempre su propia cuenta; no comparta contraseñas.</w:t>
      </w:r>
    </w:p>
    <w:p>
      <w:pPr>
        <w:pStyle w:val="ListBullet"/>
      </w:pPr>
      <w:r>
        <w:rPr>
          <w:rFonts w:ascii="Arial" w:hAnsi="Arial"/>
        </w:rPr>
        <w:t>Antes de confirmar un Excel, revise la vista previa.</w:t>
      </w:r>
    </w:p>
    <w:p>
      <w:pPr>
        <w:pStyle w:val="ListBullet"/>
      </w:pPr>
      <w:r>
        <w:rPr>
          <w:rFonts w:ascii="Arial" w:hAnsi="Arial"/>
        </w:rPr>
        <w:t>Use Ver si solo necesita consultar. Use Gestionar y guardar cuando realmente haya revisado la cotización.</w:t>
      </w:r>
    </w:p>
    <w:p>
      <w:pPr>
        <w:pStyle w:val="ListBullet"/>
      </w:pPr>
      <w:r>
        <w:rPr>
          <w:rFonts w:ascii="Arial" w:hAnsi="Arial"/>
        </w:rPr>
        <w:t>Escriba comentarios claros y verificables, porque no se pueden editar después.</w:t>
      </w:r>
    </w:p>
    <w:p>
      <w:pPr>
        <w:pStyle w:val="ListBullet"/>
      </w:pPr>
      <w:r>
        <w:rPr>
          <w:rFonts w:ascii="Arial" w:hAnsi="Arial"/>
        </w:rPr>
        <w:t>Cierre la sesión al terminar, especialmente en equipos compartidos.</w:t>
      </w:r>
    </w:p>
    <w:p>
      <w:r>
        <w:br w:type="page"/>
      </w:r>
    </w:p>
    <w:p>
      <w:pPr>
        <w:pStyle w:val="Heading1"/>
      </w:pPr>
      <w:r>
        <w:t>8 Referencia rápida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6048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Qué hacer</w:t>
            </w:r>
          </w:p>
        </w:tc>
      </w:tr>
      <w:tr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No caben todas las columnas</w:t>
            </w:r>
          </w:p>
        </w:tc>
        <w:tc>
          <w:tcPr>
            <w:tcW w:type="dxa" w:w="60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Oculte la navegación lateral y use el desplazamiento horizontal.</w:t>
            </w:r>
          </w:p>
        </w:tc>
      </w:tr>
      <w:tr>
        <w:tc>
          <w:tcPr>
            <w:tcW w:type="dxa" w:w="3312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El archivo muestra Sin cambios</w:t>
            </w:r>
          </w:p>
        </w:tc>
        <w:tc>
          <w:tcPr>
            <w:tcW w:type="dxa" w:w="6048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Es normal si los mismos registros ya existen y no fueron modificados.</w:t>
            </w:r>
          </w:p>
        </w:tc>
      </w:tr>
      <w:tr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Aparecen filas inválidas</w:t>
            </w:r>
          </w:p>
        </w:tc>
        <w:tc>
          <w:tcPr>
            <w:tcW w:type="dxa" w:w="60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Cancele, corrija el Excel y ejecute otra vista previa.</w:t>
            </w:r>
          </w:p>
        </w:tc>
      </w:tr>
      <w:tr>
        <w:tc>
          <w:tcPr>
            <w:tcW w:type="dxa" w:w="3312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No encuentro una cotización</w:t>
            </w:r>
          </w:p>
        </w:tc>
        <w:tc>
          <w:tcPr>
            <w:tcW w:type="dxa" w:w="6048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Revise el espacio USD o JPY, agente, prioridad, búsqueda y la lista correspondiente.</w:t>
            </w:r>
          </w:p>
        </w:tc>
      </w:tr>
      <w:tr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La PO tiene varias facturas</w:t>
            </w:r>
          </w:p>
        </w:tc>
        <w:tc>
          <w:tcPr>
            <w:tcW w:type="dxa" w:w="60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Use Agregar factura; no combine números o fechas en una sola fila.</w:t>
            </w:r>
          </w:p>
        </w:tc>
      </w:tr>
      <w:tr>
        <w:tc>
          <w:tcPr>
            <w:tcW w:type="dxa" w:w="3312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La cotización sigue en PO sin fecha</w:t>
            </w:r>
          </w:p>
        </w:tc>
        <w:tc>
          <w:tcPr>
            <w:tcW w:type="dxa" w:w="6048"/>
            <w:shd w:fill="ED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Abra Gestionar, seleccione PO, complete las facturas y guarde.</w:t>
            </w:r>
          </w:p>
        </w:tc>
      </w:tr>
      <w:tr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El reporte no incluye mi revisión</w:t>
            </w:r>
          </w:p>
        </w:tc>
        <w:tc>
          <w:tcPr>
            <w:tcW w:type="dxa" w:w="60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7"/>
              </w:rPr>
              <w:t>Confirme el periodo, Mi actividad y que presionó Guardar revisión.</w:t>
            </w:r>
          </w:p>
        </w:tc>
      </w:tr>
    </w:tbl>
    <w:p>
      <w:pPr>
        <w:spacing w:after="0"/>
      </w:pPr>
    </w:p>
    <w:p>
      <w:pPr>
        <w:pStyle w:val="Heading2"/>
      </w:pPr>
      <w:r>
        <w:t>Flujo diario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843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843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843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843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843"/>
            <w:shd w:fill="113E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184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6"/>
              </w:rPr>
              <w:t>Entrar y elegir espacio</w:t>
            </w:r>
          </w:p>
        </w:tc>
        <w:tc>
          <w:tcPr>
            <w:tcW w:type="dxa" w:w="184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6"/>
              </w:rPr>
              <w:t>Subir y revisar Excel</w:t>
            </w:r>
          </w:p>
        </w:tc>
        <w:tc>
          <w:tcPr>
            <w:tcW w:type="dxa" w:w="184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6"/>
              </w:rPr>
              <w:t>Filtrar mis cotizaciones</w:t>
            </w:r>
          </w:p>
        </w:tc>
        <w:tc>
          <w:tcPr>
            <w:tcW w:type="dxa" w:w="184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6"/>
              </w:rPr>
              <w:t>Guardar seguimientos</w:t>
            </w:r>
          </w:p>
        </w:tc>
        <w:tc>
          <w:tcPr>
            <w:tcW w:type="dxa" w:w="184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6"/>
              </w:rPr>
              <w:t>Generar reporte y salir</w:t>
            </w:r>
          </w:p>
        </w:tc>
      </w:tr>
    </w:tbl>
    <w:p>
      <w:pPr>
        <w:spacing w:after="0"/>
      </w:pPr>
    </w:p>
    <w:p>
      <w:r>
        <w:rPr>
          <w:rFonts w:ascii="Arial" w:hAnsi="Arial"/>
        </w:rPr>
        <w:t>Soporte: si el problema continúa, anote la pantalla, el folio y el mensaje mostrado, y comuníquelo al administrador del sistema. No envíe contraseñas.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788"/>
        <w:sz w:val="16"/>
      </w:rPr>
      <w:t xml:space="preserve">NT Tool Quotation Follow-up  |  </w:t>
    </w:r>
    <w:r>
      <w:rPr>
        <w:rFonts w:ascii="Arial" w:hAnsi="Arial"/>
        <w:color w:val="667788"/>
        <w:sz w:val="16"/>
      </w:rPr>
      <w:t xml:space="preserve">Page </w:t>
    </w:r>
    <w:r>
      <w:rPr>
        <w:rFonts w:ascii="Arial" w:hAnsi="Arial"/>
        <w:color w:val="66778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788"/>
        <w:sz w:val="17"/>
      </w:rPr>
      <w:t>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eguimientocotizaciones-nt.up.railwa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seguimiento de cotizaciones</dc:title>
  <dc:subject>NT Tool Quotation Follow-up</dc:subject>
  <dc:creator>NT Tool</dc:creator>
  <cp:keywords>quotations, follow-up, USD, JPY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