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1152"/>
        <w:gridCol w:w="8352"/>
      </w:tblGrid>
      <w:tr>
        <w:tc>
          <w:tcPr>
            <w:tcW w:type="dxa" w:w="1152"/>
            <w:shd w:fill="113E60"/>
            <w:tcBorders>
              <w:top w:val="single" w:sz="0" w:color="FFFFFF"/>
              <w:left w:val="single" w:sz="0" w:color="FFFFFF"/>
              <w:bottom w:val="single" w:sz="0" w:color="FFFFFF"/>
              <w:right w:val="single" w:sz="0" w:color="FFFFFF"/>
              <w:insideH w:val="single" w:sz="0" w:color="FFFFFF"/>
              <w:insideV w:val="single" w:sz="0" w:color="FFFFFF"/>
            </w:tcBorders>
            <w:tcMar>
              <w:top w:w="90" w:type="dxa"/>
              <w:start w:w="100" w:type="dxa"/>
              <w:bottom w:w="90" w:type="dxa"/>
              <w:end w:w="100" w:type="dxa"/>
            </w:tcMar>
          </w:tcPr>
          <w:p>
            <w:pPr>
              <w:jc w:val="center"/>
            </w:pPr>
            <w:r>
              <w:rPr>
                <w:rFonts w:ascii="Arial" w:hAnsi="Arial"/>
                <w:b/>
                <w:color w:val="FFFFFF"/>
                <w:sz w:val="36"/>
              </w:rPr>
              <w:t>NT</w:t>
            </w:r>
          </w:p>
        </w:tc>
        <w:tc>
          <w:tcPr>
            <w:tcW w:type="dxa" w:w="8352"/>
            <w:shd w:fill="FFFFFF"/>
            <w:tcBorders>
              <w:top w:val="single" w:sz="0" w:color="FFFFFF"/>
              <w:left w:val="single" w:sz="0" w:color="FFFFFF"/>
              <w:bottom w:val="single" w:sz="0" w:color="FFFFFF"/>
              <w:right w:val="single" w:sz="0" w:color="FFFFFF"/>
              <w:insideH w:val="single" w:sz="0" w:color="FFFFFF"/>
              <w:insideV w:val="single" w:sz="0" w:color="FFFFFF"/>
            </w:tcBorders>
            <w:tcMar>
              <w:top w:w="90" w:type="dxa"/>
              <w:start w:w="100" w:type="dxa"/>
              <w:bottom w:w="90" w:type="dxa"/>
              <w:end w:w="100" w:type="dxa"/>
            </w:tcMar>
          </w:tcPr>
          <w:p>
            <w:r>
              <w:rPr>
                <w:rFonts w:ascii="Arial" w:hAnsi="Arial"/>
                <w:b/>
                <w:color w:val="113E60"/>
                <w:sz w:val="20"/>
              </w:rPr>
              <w:t>NT TOOL</w:t>
            </w:r>
            <w:r>
              <w:rPr>
                <w:rFonts w:ascii="Arial" w:hAnsi="Arial"/>
                <w:color w:val="667788"/>
                <w:sz w:val="18"/>
              </w:rPr>
              <w:br/>
              <w:t>Quotation Follow-up</w:t>
            </w:r>
          </w:p>
        </w:tc>
      </w:tr>
    </w:tbl>
    <w:p/>
    <w:p/>
    <w:p/>
    <w:p>
      <w:pPr>
        <w:spacing w:before="160" w:after="80"/>
      </w:pPr>
      <w:r>
        <w:rPr>
          <w:rFonts w:ascii="Arial" w:hAnsi="Arial"/>
          <w:b/>
          <w:color w:val="1683C4"/>
          <w:sz w:val="17"/>
        </w:rPr>
        <w:t>USER GUIDE</w:t>
      </w:r>
    </w:p>
    <w:p>
      <w:pPr>
        <w:pStyle w:val="Title"/>
        <w:jc w:val="left"/>
      </w:pPr>
      <w:r>
        <w:t>Quotation Follow-up User Manual</w:t>
      </w:r>
    </w:p>
    <w:p>
      <w:pPr>
        <w:spacing w:after="400"/>
      </w:pPr>
      <w:r>
        <w:rPr>
          <w:rFonts w:ascii="Arial" w:hAnsi="Arial"/>
          <w:color w:val="113E60"/>
          <w:sz w:val="30"/>
        </w:rPr>
        <w:t>Follow Up Quotations USD and Special Quotations JPY</w:t>
      </w:r>
    </w:p>
    <w:p>
      <w:r>
        <w:rPr>
          <w:rFonts w:ascii="Arial" w:hAnsi="Arial"/>
        </w:rPr>
        <w:t>A concise guide for reviewing, filtering and following up quotations, recording outcomes and generating reports without using administrative functions.</w:t>
      </w:r>
    </w:p>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464"/>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9"/>
              </w:rPr>
              <w:t>Document</w:t>
            </w:r>
          </w:p>
        </w:tc>
        <w:tc>
          <w:tcPr>
            <w:tcW w:type="dxa" w:w="1728"/>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9"/>
              </w:rPr>
              <w:t>Version</w:t>
            </w:r>
          </w:p>
        </w:tc>
        <w:tc>
          <w:tcPr>
            <w:tcW w:type="dxa" w:w="2592"/>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9"/>
              </w:rPr>
              <w:t>Updated</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9"/>
              </w:rPr>
              <w:t>Standard user</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9"/>
              </w:rPr>
              <w:t>1.0</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9"/>
              </w:rPr>
              <w:t>18/09/2026</w:t>
            </w:r>
          </w:p>
        </w:tc>
      </w:tr>
    </w:tbl>
    <w:p>
      <w:pPr>
        <w:spacing w:after="0"/>
      </w:pPr>
    </w:p>
    <w:p>
      <w:pPr>
        <w:spacing w:before="480"/>
      </w:pPr>
      <w:r>
        <w:rPr>
          <w:rFonts w:ascii="Arial" w:hAnsi="Arial"/>
          <w:b/>
          <w:color w:val="667788"/>
          <w:sz w:val="18"/>
        </w:rPr>
        <w:t>Online application</w:t>
      </w:r>
    </w:p>
    <w:p>
      <w:hyperlink r:id="rId11">
        <w:r>
          <w:rPr>
            <w:color w:val="1683C4"/>
            <w:u w:val="single"/>
          </w:rPr>
          <w:t>https://seguimientocotizaciones-nt.up.railway.app/</w:t>
        </w:r>
      </w:hyperlink>
    </w:p>
    <w:p>
      <w:r>
        <w:br w:type="page"/>
      </w:r>
    </w:p>
    <w:p>
      <w:pPr>
        <w:pStyle w:val="Heading1"/>
      </w:pPr>
      <w:r>
        <w:t>1 Access and first steps</w:t>
      </w:r>
    </w:p>
    <w:p>
      <w:r>
        <w:rPr>
          <w:rFonts w:ascii="Arial" w:hAnsi="Arial"/>
        </w:rPr>
        <w:t>Each person must sign in with an individual account. Saved activity and personal reports are associated with that account.</w:t>
      </w:r>
    </w:p>
    <w:p>
      <w:pPr>
        <w:pStyle w:val="Heading2"/>
      </w:pPr>
      <w:r>
        <w:t>Sign in</w:t>
      </w:r>
    </w:p>
    <w:p>
      <w:pPr>
        <w:spacing w:after="60"/>
        <w:ind w:left="346" w:hanging="346"/>
      </w:pPr>
      <w:r>
        <w:rPr>
          <w:rFonts w:ascii="Arial" w:hAnsi="Arial"/>
        </w:rPr>
        <w:t>1.  Open the application link in Chrome, Edge or Brave.</w:t>
      </w:r>
    </w:p>
    <w:p>
      <w:pPr>
        <w:spacing w:after="60"/>
        <w:ind w:left="346" w:hanging="346"/>
      </w:pPr>
      <w:r>
        <w:rPr>
          <w:rFonts w:ascii="Arial" w:hAnsi="Arial"/>
        </w:rPr>
        <w:t>2.  Enter your username and password.</w:t>
      </w:r>
    </w:p>
    <w:p>
      <w:pPr>
        <w:spacing w:after="60"/>
        <w:ind w:left="346" w:hanging="346"/>
      </w:pPr>
      <w:r>
        <w:rPr>
          <w:rFonts w:ascii="Arial" w:hAnsi="Arial"/>
        </w:rPr>
        <w:t>3.  Select English or Español before signing in. The language can also be changed inside the application.</w:t>
      </w:r>
    </w:p>
    <w:p>
      <w:pPr>
        <w:spacing w:after="60"/>
        <w:ind w:left="346" w:hanging="346"/>
      </w:pPr>
      <w:r>
        <w:rPr>
          <w:rFonts w:ascii="Arial" w:hAnsi="Arial"/>
        </w:rPr>
        <w:t>4.  If you received a temporary password, replace it when prompted.</w:t>
      </w:r>
    </w:p>
    <w:p>
      <w:pPr>
        <w:pStyle w:val="Heading2"/>
      </w:pPr>
      <w:r>
        <w:t>Select a workspace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Workspace</w:t>
            </w:r>
          </w:p>
        </w:tc>
        <w:tc>
          <w:tcPr>
            <w:tcW w:type="dxa" w:w="5328"/>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Use</w:t>
            </w:r>
          </w:p>
        </w:tc>
        <w:tc>
          <w:tcPr>
            <w:tcW w:type="dxa" w:w="1152"/>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Currency</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Follow Up Quotations</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Quotations from the daily Excel report</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USD</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Special Quotations</w:t>
            </w:r>
          </w:p>
        </w:tc>
        <w:tc>
          <w:tcPr>
            <w:tcW w:type="dxa" w:w="532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Special items from the Excel file</w:t>
            </w:r>
          </w:p>
        </w:tc>
        <w:tc>
          <w:tcPr>
            <w:tcW w:type="dxa" w:w="1152"/>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JPY</w:t>
            </w:r>
          </w:p>
        </w:tc>
      </w:tr>
    </w:tbl>
    <w:p>
      <w:pPr>
        <w:spacing w:after="0"/>
      </w:pPr>
    </w:p>
    <w:p>
      <w:r>
        <w:rPr>
          <w:rFonts w:ascii="Arial" w:hAnsi="Arial"/>
          <w:b/>
        </w:rPr>
        <w:t>Important:</w:t>
      </w:r>
      <w:r>
        <w:rPr>
          <w:rFonts w:ascii="Arial" w:hAnsi="Arial"/>
        </w:rPr>
        <w:t xml:space="preserve"> USD and JPY remain separate. The application does not convert currencies.</w:t>
      </w:r>
    </w:p>
    <w:p>
      <w:pPr>
        <w:pStyle w:val="Heading2"/>
      </w:pPr>
      <w:r>
        <w:t>Top controls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Control</w:t>
            </w:r>
          </w:p>
        </w:tc>
        <w:tc>
          <w:tcPr>
            <w:tcW w:type="dxa" w:w="64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Purpose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NT Tool agent</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Filters the dashboard and lists by agent.</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Language</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Changes the interface without changing data.</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Upload Excel</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Opens the import workflow with a preview.</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Change password</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Updates your personal password.</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Log out</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Ends the session securely.</w:t>
            </w:r>
          </w:p>
        </w:tc>
      </w:tr>
    </w:tbl>
    <w:p>
      <w:pPr>
        <w:spacing w:after="0"/>
      </w:pPr>
    </w:p>
    <w:p>
      <w:r>
        <w:br w:type="page"/>
      </w:r>
    </w:p>
    <w:p>
      <w:pPr>
        <w:pStyle w:val="Heading1"/>
      </w:pPr>
      <w:r>
        <w:t>2 Dashboard priorities and search</w:t>
      </w:r>
    </w:p>
    <w:p>
      <w:r>
        <w:rPr>
          <w:rFonts w:ascii="Arial" w:hAnsi="Arial"/>
        </w:rPr>
        <w:t>The Dashboard shows the current position for the selected workspace: pending quotations, POs, priorities, quotations added today and overdue follow-ups.</w:t>
      </w:r>
    </w:p>
    <w:p>
      <w:pPr>
        <w:pStyle w:val="Heading2"/>
      </w:pPr>
      <w:r>
        <w:t>Main indicators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Indicator</w:t>
            </w:r>
          </w:p>
        </w:tc>
        <w:tc>
          <w:tcPr>
            <w:tcW w:type="dxa" w:w="6336"/>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Meaning</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Added today</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New records added through a confirmed import.</w:t>
            </w:r>
          </w:p>
        </w:tc>
      </w:tr>
      <w:tr>
        <w:tc>
          <w:tcPr>
            <w:tcW w:type="dxa" w:w="3024"/>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Pending</w:t>
            </w:r>
          </w:p>
        </w:tc>
        <w:tc>
          <w:tcPr>
            <w:tcW w:type="dxa" w:w="6336"/>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Active quotations that are not yet a PO or lost.</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Overdue follow-ups</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Non-safe pending quotations with more than 15 days since the last saved review.</w:t>
            </w:r>
          </w:p>
        </w:tc>
      </w:tr>
      <w:tr>
        <w:tc>
          <w:tcPr>
            <w:tcW w:type="dxa" w:w="3024"/>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PO today</w:t>
            </w:r>
          </w:p>
        </w:tc>
        <w:tc>
          <w:tcPr>
            <w:tcW w:type="dxa" w:w="6336"/>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Quotations changed to PO today, regardless of the invoice date.</w:t>
            </w:r>
          </w:p>
        </w:tc>
      </w:tr>
    </w:tbl>
    <w:p>
      <w:pPr>
        <w:spacing w:after="0"/>
      </w:pPr>
    </w:p>
    <w:p>
      <w:pPr>
        <w:pStyle w:val="Heading2"/>
      </w:pPr>
      <w:r>
        <w:t>SABC classification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Priority</w:t>
            </w:r>
          </w:p>
        </w:tc>
        <w:tc>
          <w:tcPr>
            <w:tcW w:type="dxa" w:w="3888"/>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Follow Up Quotations</w:t>
            </w:r>
          </w:p>
        </w:tc>
        <w:tc>
          <w:tcPr>
            <w:tcW w:type="dxa" w:w="3888"/>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Special Quotations</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USD 5,001 or more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Top 10% by price</w:t>
            </w:r>
          </w:p>
        </w:tc>
      </w:tr>
      <w:tr>
        <w:tc>
          <w:tcPr>
            <w:tcW w:type="dxa" w:w="144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A</w:t>
            </w:r>
          </w:p>
        </w:tc>
        <w:tc>
          <w:tcPr>
            <w:tcW w:type="dxa" w:w="388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USD 1,001 to 5,000</w:t>
            </w:r>
          </w:p>
        </w:tc>
        <w:tc>
          <w:tcPr>
            <w:tcW w:type="dxa" w:w="388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Percentiles 11 to 30</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B</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USD 501 to 1,000</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Percentiles 31 to 60</w:t>
            </w:r>
          </w:p>
        </w:tc>
      </w:tr>
      <w:tr>
        <w:tc>
          <w:tcPr>
            <w:tcW w:type="dxa" w:w="144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C</w:t>
            </w:r>
          </w:p>
        </w:tc>
        <w:tc>
          <w:tcPr>
            <w:tcW w:type="dxa" w:w="388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USD 0 to 500</w:t>
            </w:r>
          </w:p>
        </w:tc>
        <w:tc>
          <w:tcPr>
            <w:tcW w:type="dxa" w:w="388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Percentiles 61 to 100</w:t>
            </w:r>
          </w:p>
        </w:tc>
      </w:tr>
    </w:tbl>
    <w:p>
      <w:pPr>
        <w:spacing w:after="0"/>
      </w:pPr>
    </w:p>
    <w:p>
      <w:pPr>
        <w:pStyle w:val="Heading2"/>
      </w:pPr>
      <w:r>
        <w:t>Search filter and sort</w:t>
      </w:r>
    </w:p>
    <w:p>
      <w:pPr>
        <w:pStyle w:val="ListBullet"/>
      </w:pPr>
      <w:r>
        <w:rPr>
          <w:rFonts w:ascii="Arial" w:hAnsi="Arial"/>
        </w:rPr>
        <w:t>Search locates records by quotation number, distributor or End User.</w:t>
      </w:r>
    </w:p>
    <w:p>
      <w:pPr>
        <w:pStyle w:val="ListBullet"/>
      </w:pPr>
      <w:r>
        <w:rPr>
          <w:rFonts w:ascii="Arial" w:hAnsi="Arial"/>
        </w:rPr>
        <w:t>Priority limits the list to S, A, B or C.</w:t>
      </w:r>
    </w:p>
    <w:p>
      <w:pPr>
        <w:pStyle w:val="ListBullet"/>
      </w:pPr>
      <w:r>
        <w:rPr>
          <w:rFonts w:ascii="Arial" w:hAnsi="Arial"/>
        </w:rPr>
        <w:t>Rank appears in Special Quotations and filters by the Excel rank.</w:t>
      </w:r>
    </w:p>
    <w:p>
      <w:pPr>
        <w:pStyle w:val="ListBullet"/>
      </w:pPr>
      <w:r>
        <w:rPr>
          <w:rFonts w:ascii="Arial" w:hAnsi="Arial"/>
        </w:rPr>
        <w:t>Sort by supports priority, date, quotation number or amount in either direction.</w:t>
      </w:r>
    </w:p>
    <w:p>
      <w:pPr>
        <w:pStyle w:val="ListBullet"/>
      </w:pPr>
      <w:r>
        <w:rPr>
          <w:rFonts w:ascii="Arial" w:hAnsi="Arial"/>
        </w:rPr>
        <w:t>The button beside the page heading can hide the side navigation to show more columns.</w:t>
      </w:r>
    </w:p>
    <w:p>
      <w:r>
        <w:br w:type="page"/>
      </w:r>
    </w:p>
    <w:p>
      <w:pPr>
        <w:pStyle w:val="Heading1"/>
      </w:pPr>
      <w:r>
        <w:t>3 Daily Excel import</w:t>
      </w:r>
    </w:p>
    <w:p>
      <w:r>
        <w:rPr>
          <w:rFonts w:ascii="Arial" w:hAnsi="Arial"/>
        </w:rPr>
        <w:t>Uploading a repeated Excel file does not duplicate records. The preview compares the file with the current database and separates new, updated and unchanged records.</w:t>
      </w:r>
    </w:p>
    <w:p>
      <w:pPr>
        <w:pStyle w:val="Heading2"/>
      </w:pPr>
      <w:r>
        <w:t>Procedure</w:t>
      </w:r>
    </w:p>
    <w:p>
      <w:pPr>
        <w:spacing w:after="60"/>
        <w:ind w:left="346" w:hanging="346"/>
      </w:pPr>
      <w:r>
        <w:rPr>
          <w:rFonts w:ascii="Arial" w:hAnsi="Arial"/>
        </w:rPr>
        <w:t>1.  Confirm that you are in the correct workspace.</w:t>
      </w:r>
    </w:p>
    <w:p>
      <w:pPr>
        <w:spacing w:after="60"/>
        <w:ind w:left="346" w:hanging="346"/>
      </w:pPr>
      <w:r>
        <w:rPr>
          <w:rFonts w:ascii="Arial" w:hAnsi="Arial"/>
        </w:rPr>
        <w:t>2.  Select Upload Excel and choose the corresponding file.</w:t>
      </w:r>
    </w:p>
    <w:p>
      <w:pPr>
        <w:spacing w:after="60"/>
        <w:ind w:left="346" w:hanging="346"/>
      </w:pPr>
      <w:r>
        <w:rPr>
          <w:rFonts w:ascii="Arial" w:hAnsi="Arial"/>
        </w:rPr>
        <w:t>3.  Select Preview. No changes are saved yet.</w:t>
      </w:r>
    </w:p>
    <w:p>
      <w:pPr>
        <w:spacing w:after="60"/>
        <w:ind w:left="346" w:hanging="346"/>
      </w:pPr>
      <w:r>
        <w:rPr>
          <w:rFonts w:ascii="Arial" w:hAnsi="Arial"/>
        </w:rPr>
        <w:t>4.  Review Rows, New, Updated, Unchanged, Duplicates, Archived or hidden and Invalid.</w:t>
      </w:r>
    </w:p>
    <w:p>
      <w:pPr>
        <w:spacing w:after="60"/>
        <w:ind w:left="346" w:hanging="346"/>
      </w:pPr>
      <w:r>
        <w:rPr>
          <w:rFonts w:ascii="Arial" w:hAnsi="Arial"/>
        </w:rPr>
        <w:t>5.  If the result is correct, select Confirm import once.</w:t>
      </w:r>
    </w:p>
    <w:p>
      <w:pPr>
        <w:spacing w:after="60"/>
        <w:ind w:left="346" w:hanging="346"/>
      </w:pPr>
      <w:r>
        <w:rPr>
          <w:rFonts w:ascii="Arial" w:hAnsi="Arial"/>
        </w:rPr>
        <w:t>6.  Wait for the import completed message and review the Dashboard.</w:t>
      </w:r>
    </w:p>
    <w:p>
      <w:r>
        <w:rPr>
          <w:rFonts w:ascii="Arial" w:hAnsi="Arial"/>
          <w:b/>
        </w:rPr>
        <w:t>If invalid rows appear,</w:t>
      </w:r>
      <w:r>
        <w:rPr>
          <w:rFonts w:ascii="Arial" w:hAnsi="Arial"/>
        </w:rPr>
        <w:t xml:space="preserve"> correct the Excel first and run the preview again. Do not confirm an import whose results you do not recognize.</w:t>
      </w:r>
    </w:p>
    <w:p>
      <w:pPr>
        <w:pStyle w:val="Heading2"/>
      </w:pPr>
      <w:r>
        <w:t>Columns used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Workspace</w:t>
            </w:r>
          </w:p>
        </w:tc>
        <w:tc>
          <w:tcPr>
            <w:tcW w:type="dxa" w:w="64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Columns read</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Follow Up Quotations</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A date; B series; C folio; D distributor; E total with tax; F End User; G distributor agent; I customer order; J NT Tool agent; K internal net total.</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Special Quotations</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B date; E company; F rank; G item code; H model; I quantity; J unit price; AA NT Tool agent.</w:t>
            </w:r>
          </w:p>
        </w:tc>
      </w:tr>
    </w:tbl>
    <w:p>
      <w:pPr>
        <w:spacing w:after="0"/>
      </w:pPr>
    </w:p>
    <w:p>
      <w:r>
        <w:br w:type="page"/>
      </w:r>
    </w:p>
    <w:p>
      <w:pPr>
        <w:pStyle w:val="Heading1"/>
      </w:pPr>
      <w:r>
        <w:t>4 View and save a follow-up</w:t>
      </w:r>
    </w:p>
    <w:p>
      <w:r>
        <w:rPr>
          <w:rFonts w:ascii="Arial" w:hAnsi="Arial"/>
        </w:rPr>
        <w:t>In the lists, View opens details without changing the record. Manage opens the follow-up form.</w:t>
      </w:r>
    </w:p>
    <w:p>
      <w:pPr>
        <w:pStyle w:val="Heading2"/>
      </w:pPr>
      <w:r>
        <w:t>View</w:t>
      </w:r>
    </w:p>
    <w:p>
      <w:pPr>
        <w:pStyle w:val="ListBullet"/>
      </w:pPr>
      <w:r>
        <w:rPr>
          <w:rFonts w:ascii="Arial" w:hAnsi="Arial"/>
        </w:rPr>
        <w:t>Shows quotation details, comments, PO invoices and activity history.</w:t>
      </w:r>
    </w:p>
    <w:p>
      <w:pPr>
        <w:pStyle w:val="ListBullet"/>
      </w:pPr>
      <w:r>
        <w:rPr>
          <w:rFonts w:ascii="Arial" w:hAnsi="Arial"/>
        </w:rPr>
        <w:t>Series and the internal net total appear here even though they are hidden from the list.</w:t>
      </w:r>
    </w:p>
    <w:p>
      <w:pPr>
        <w:pStyle w:val="ListBullet"/>
      </w:pPr>
      <w:r>
        <w:rPr>
          <w:rFonts w:ascii="Arial" w:hAnsi="Arial"/>
        </w:rPr>
        <w:t>Opening View does not count as a review.</w:t>
      </w:r>
    </w:p>
    <w:p>
      <w:pPr>
        <w:pStyle w:val="Heading2"/>
      </w:pPr>
      <w:r>
        <w:t>Manage</w:t>
      </w:r>
    </w:p>
    <w:p>
      <w:pPr>
        <w:spacing w:after="60"/>
        <w:ind w:left="346" w:hanging="346"/>
      </w:pPr>
      <w:r>
        <w:rPr>
          <w:rFonts w:ascii="Arial" w:hAnsi="Arial"/>
        </w:rPr>
        <w:t>1.  Review the quotation details.</w:t>
      </w:r>
    </w:p>
    <w:p>
      <w:pPr>
        <w:spacing w:after="60"/>
        <w:ind w:left="346" w:hanging="346"/>
      </w:pPr>
      <w:r>
        <w:rPr>
          <w:rFonts w:ascii="Arial" w:hAnsi="Arial"/>
        </w:rPr>
        <w:t>2.  Select Status: Pending, PO or Lost.</w:t>
      </w:r>
    </w:p>
    <w:p>
      <w:pPr>
        <w:spacing w:after="60"/>
        <w:ind w:left="346" w:hanging="346"/>
      </w:pPr>
      <w:r>
        <w:rPr>
          <w:rFonts w:ascii="Arial" w:hAnsi="Arial"/>
        </w:rPr>
        <w:t>3.  Select the follow-up method: E-mail, Call or Visit.</w:t>
      </w:r>
    </w:p>
    <w:p>
      <w:pPr>
        <w:spacing w:after="60"/>
        <w:ind w:left="346" w:hanging="346"/>
      </w:pPr>
      <w:r>
        <w:rPr>
          <w:rFonts w:ascii="Arial" w:hAnsi="Arial"/>
        </w:rPr>
        <w:t>4.  Complete the fields displayed for that status.</w:t>
      </w:r>
    </w:p>
    <w:p>
      <w:pPr>
        <w:spacing w:after="60"/>
        <w:ind w:left="346" w:hanging="346"/>
      </w:pPr>
      <w:r>
        <w:rPr>
          <w:rFonts w:ascii="Arial" w:hAnsi="Arial"/>
        </w:rPr>
        <w:t>5.  Select Save review.</w:t>
      </w:r>
    </w:p>
    <w:p>
      <w:r>
        <w:rPr>
          <w:rFonts w:ascii="Arial" w:hAnsi="Arial"/>
          <w:b/>
        </w:rPr>
        <w:t>A review</w:t>
      </w:r>
      <w:r>
        <w:rPr>
          <w:rFonts w:ascii="Arial" w:hAnsi="Arial"/>
        </w:rPr>
        <w:t xml:space="preserve"> is counted when Manage is saved even if the status does not change. Saved comments are permanent, and new comments are appended to the history rather than replacing earlier notes.</w:t>
      </w:r>
    </w:p>
    <w:p>
      <w:pPr>
        <w:pStyle w:val="Heading2"/>
      </w:pPr>
      <w:r>
        <w:t>Outcome of each status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Status</w:t>
            </w:r>
          </w:p>
        </w:tc>
        <w:tc>
          <w:tcPr>
            <w:tcW w:type="dxa" w:w="432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What to complete</w:t>
            </w:r>
          </w:p>
        </w:tc>
        <w:tc>
          <w:tcPr>
            <w:tcW w:type="dxa" w:w="360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Result</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Pending</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Method and follow-up comment. May be marked Safe.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Remains active.</w:t>
            </w:r>
          </w:p>
        </w:tc>
      </w:tr>
      <w:tr>
        <w:tc>
          <w:tcPr>
            <w:tcW w:type="dxa" w:w="144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Lost</w:t>
            </w:r>
          </w:p>
        </w:tc>
        <w:tc>
          <w:tcPr>
            <w:tcW w:type="dxa" w:w="432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Method, loss reason and recommended comment.</w:t>
            </w:r>
          </w:p>
        </w:tc>
        <w:tc>
          <w:tcPr>
            <w:tcW w:type="dxa" w:w="360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Moves to Lost.</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PO</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Method and one or more invoices.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Moves to PO; total and date are calculated.</w:t>
            </w:r>
          </w:p>
        </w:tc>
      </w:tr>
    </w:tbl>
    <w:p>
      <w:pPr>
        <w:spacing w:after="0"/>
      </w:pPr>
    </w:p>
    <w:p>
      <w:r>
        <w:rPr>
          <w:rFonts w:ascii="Arial" w:hAnsi="Arial"/>
        </w:rPr>
        <w:t>Available loss reasons: Lead Time, Over Budget, Window Shopping, Project Cancelled and Mismatch.</w:t>
      </w:r>
    </w:p>
    <w:p>
      <w:r>
        <w:br w:type="page"/>
      </w:r>
    </w:p>
    <w:p>
      <w:pPr>
        <w:pStyle w:val="Heading1"/>
      </w:pPr>
      <w:r>
        <w:t>5 Register a PO and its invoices</w:t>
      </w:r>
    </w:p>
    <w:p>
      <w:r>
        <w:rPr>
          <w:rFonts w:ascii="Arial" w:hAnsi="Arial"/>
        </w:rPr>
        <w:t>A PO may consist of one invoice or several invoices. Each invoice is entered separately and the application calculates the consolidated result.</w:t>
      </w:r>
    </w:p>
    <w:p>
      <w:pPr>
        <w:pStyle w:val="Heading2"/>
      </w:pPr>
      <w:r>
        <w:t>Invoice fields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Field</w:t>
            </w:r>
          </w:p>
        </w:tc>
        <w:tc>
          <w:tcPr>
            <w:tcW w:type="dxa" w:w="2592"/>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Generic example</w:t>
            </w:r>
          </w:p>
        </w:tc>
        <w:tc>
          <w:tcPr>
            <w:tcW w:type="dxa" w:w="432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Purpose</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Invoice date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15/09/2026</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Actual invoice date.</w:t>
            </w:r>
          </w:p>
        </w:tc>
      </w:tr>
      <w:tr>
        <w:tc>
          <w:tcPr>
            <w:tcW w:type="dxa" w:w="244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Series or folio</w:t>
            </w:r>
          </w:p>
        </w:tc>
        <w:tc>
          <w:tcPr>
            <w:tcW w:type="dxa" w:w="2592"/>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IV</w:t>
            </w:r>
          </w:p>
        </w:tc>
        <w:tc>
          <w:tcPr>
            <w:tcW w:type="dxa" w:w="432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Series used by the invoice.</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Invoice number or code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000123</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Individual identifier.</w:t>
            </w:r>
          </w:p>
        </w:tc>
      </w:tr>
      <w:tr>
        <w:tc>
          <w:tcPr>
            <w:tcW w:type="dxa" w:w="244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Amount</w:t>
            </w:r>
          </w:p>
        </w:tc>
        <w:tc>
          <w:tcPr>
            <w:tcW w:type="dxa" w:w="2592"/>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1,250.00</w:t>
            </w:r>
          </w:p>
        </w:tc>
        <w:tc>
          <w:tcPr>
            <w:tcW w:type="dxa" w:w="432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USD or JPY according to the workspace.</w:t>
            </w:r>
          </w:p>
        </w:tc>
      </w:tr>
    </w:tbl>
    <w:p>
      <w:pPr>
        <w:spacing w:after="0"/>
      </w:pPr>
    </w:p>
    <w:p>
      <w:pPr>
        <w:pStyle w:val="Heading2"/>
      </w:pPr>
      <w:r>
        <w:t>Procedure</w:t>
      </w:r>
    </w:p>
    <w:p>
      <w:pPr>
        <w:spacing w:after="60"/>
        <w:ind w:left="346" w:hanging="346"/>
      </w:pPr>
      <w:r>
        <w:rPr>
          <w:rFonts w:ascii="Arial" w:hAnsi="Arial"/>
        </w:rPr>
        <w:t>1.  In Manage, change Status to PO and select the follow-up method.</w:t>
      </w:r>
    </w:p>
    <w:p>
      <w:pPr>
        <w:spacing w:after="60"/>
        <w:ind w:left="346" w:hanging="346"/>
      </w:pPr>
      <w:r>
        <w:rPr>
          <w:rFonts w:ascii="Arial" w:hAnsi="Arial"/>
        </w:rPr>
        <w:t>2.  Enter the four fields for the first invoice.</w:t>
      </w:r>
    </w:p>
    <w:p>
      <w:pPr>
        <w:spacing w:after="60"/>
        <w:ind w:left="346" w:hanging="346"/>
      </w:pPr>
      <w:r>
        <w:rPr>
          <w:rFonts w:ascii="Arial" w:hAnsi="Arial"/>
        </w:rPr>
        <w:t>3.  If there are more invoices, select Add invoice and enter each one.</w:t>
      </w:r>
    </w:p>
    <w:p>
      <w:pPr>
        <w:spacing w:after="60"/>
        <w:ind w:left="346" w:hanging="346"/>
      </w:pPr>
      <w:r>
        <w:rPr>
          <w:rFonts w:ascii="Arial" w:hAnsi="Arial"/>
        </w:rPr>
        <w:t>4.  Verify the PO total displayed at the bottom.</w:t>
      </w:r>
    </w:p>
    <w:p>
      <w:pPr>
        <w:spacing w:after="60"/>
        <w:ind w:left="346" w:hanging="346"/>
      </w:pPr>
      <w:r>
        <w:rPr>
          <w:rFonts w:ascii="Arial" w:hAnsi="Arial"/>
        </w:rPr>
        <w:t>5.  Select Save review.</w:t>
      </w:r>
    </w:p>
    <w:p>
      <w:r>
        <w:rPr>
          <w:rFonts w:ascii="Arial" w:hAnsi="Arial"/>
        </w:rPr>
        <w:t>The PO total is the sum of all invoices. The PO date is the latest date among the registered invoices. The application records the operation automatically, so PO status does not display a manual comment field.</w:t>
      </w:r>
    </w:p>
    <w:p>
      <w:pPr>
        <w:pStyle w:val="Heading2"/>
      </w:pPr>
      <w:r>
        <w:t>PO Date Missing</w:t>
      </w:r>
    </w:p>
    <w:p>
      <w:r>
        <w:rPr>
          <w:rFonts w:ascii="Arial" w:hAnsi="Arial"/>
        </w:rPr>
        <w:t>In Follow Up Quotations, a record imported with a Customer order but no invoice remains Pending and appears under PO Date Missing. Open Manage, select PO and enter its invoices to complete the process.</w:t>
      </w:r>
    </w:p>
    <w:p>
      <w:r>
        <w:br w:type="page"/>
      </w:r>
    </w:p>
    <w:p>
      <w:pPr>
        <w:pStyle w:val="Heading1"/>
      </w:pPr>
      <w:r>
        <w:t>6 Follow-up lists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List</w:t>
            </w:r>
          </w:p>
        </w:tc>
        <w:tc>
          <w:tcPr>
            <w:tcW w:type="dxa" w:w="64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Contents</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SABC Priorities</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Active pending quotations not marked Safe.</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Managed</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Quotations with at least one saved review.</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Safe</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Long-term pending quotations marked so they are not treated as inactive.</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PO Date Missing</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USD only: customer order detected, but invoices and date are missing.</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PO</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Converted quotations with final date and total visible.</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Lost</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Lost quotations and the selected loss reason.</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Historical</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USD only: earlier information retained as read-only.</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7"/>
              </w:rPr>
              <w:t>Archive</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JPY only: records hidden or excluded during cleanup.</w:t>
            </w:r>
          </w:p>
        </w:tc>
      </w:tr>
    </w:tbl>
    <w:p>
      <w:pPr>
        <w:spacing w:after="0"/>
      </w:pPr>
    </w:p>
    <w:p>
      <w:pPr>
        <w:pStyle w:val="Heading2"/>
      </w:pPr>
      <w:r>
        <w:t>15-day alerts</w:t>
      </w:r>
    </w:p>
    <w:p>
      <w:r>
        <w:rPr>
          <w:rFonts w:ascii="Arial" w:hAnsi="Arial"/>
        </w:rPr>
        <w:t>A Pending quotation that is not Safe appears as overdue when more than 15 days have passed since it was added or since its last saved review. To update it, open Manage, record the method and relevant comment, and save the review.</w:t>
      </w:r>
    </w:p>
    <w:p>
      <w:r>
        <w:rPr>
          <w:rFonts w:ascii="Arial" w:hAnsi="Arial"/>
          <w:b/>
        </w:rPr>
        <w:t>Safe</w:t>
      </w:r>
      <w:r>
        <w:rPr>
          <w:rFonts w:ascii="Arial" w:hAnsi="Arial"/>
        </w:rPr>
        <w:t xml:space="preserve"> should be reserved for projects that legitimately require a long period. It should not be used only to hide an alert.</w:t>
      </w:r>
    </w:p>
    <w:p>
      <w:r>
        <w:br w:type="page"/>
      </w:r>
    </w:p>
    <w:p>
      <w:pPr>
        <w:pStyle w:val="Heading1"/>
      </w:pPr>
      <w:r>
        <w:t>7 Reports and sign out</w:t>
      </w:r>
    </w:p>
    <w:p>
      <w:r>
        <w:rPr>
          <w:rFonts w:ascii="Arial" w:hAnsi="Arial"/>
        </w:rPr>
        <w:t>Each workspace generates reports in its own currency: Follow Up Quotations in USD and Special Quotations in JPY.</w:t>
      </w:r>
    </w:p>
    <w:p>
      <w:pPr>
        <w:pStyle w:val="Heading2"/>
      </w:pPr>
      <w:r>
        <w:t>Generate a report</w:t>
      </w:r>
    </w:p>
    <w:p>
      <w:pPr>
        <w:spacing w:after="60"/>
        <w:ind w:left="346" w:hanging="346"/>
      </w:pPr>
      <w:r>
        <w:rPr>
          <w:rFonts w:ascii="Arial" w:hAnsi="Arial"/>
        </w:rPr>
        <w:t>1.  Open Reports.</w:t>
      </w:r>
    </w:p>
    <w:p>
      <w:pPr>
        <w:spacing w:after="60"/>
        <w:ind w:left="346" w:hanging="346"/>
      </w:pPr>
      <w:r>
        <w:rPr>
          <w:rFonts w:ascii="Arial" w:hAnsi="Arial"/>
        </w:rPr>
        <w:t>2.  Select Daily, Weekly, Monthly or Custom range.</w:t>
      </w:r>
    </w:p>
    <w:p>
      <w:pPr>
        <w:spacing w:after="60"/>
        <w:ind w:left="346" w:hanging="346"/>
      </w:pPr>
      <w:r>
        <w:rPr>
          <w:rFonts w:ascii="Arial" w:hAnsi="Arial"/>
        </w:rPr>
        <w:t>3.  For Custom range, enter Start date and End date.</w:t>
      </w:r>
    </w:p>
    <w:p>
      <w:pPr>
        <w:spacing w:after="60"/>
        <w:ind w:left="346" w:hanging="346"/>
      </w:pPr>
      <w:r>
        <w:rPr>
          <w:rFonts w:ascii="Arial" w:hAnsi="Arial"/>
        </w:rPr>
        <w:t>4.  Keep My activity to include only operations saved with your user account.</w:t>
      </w:r>
    </w:p>
    <w:p>
      <w:pPr>
        <w:spacing w:after="60"/>
        <w:ind w:left="346" w:hanging="346"/>
      </w:pPr>
      <w:r>
        <w:rPr>
          <w:rFonts w:ascii="Arial" w:hAnsi="Arial"/>
        </w:rPr>
        <w:t>5.  Use the agent filter if you need to limit the results.</w:t>
      </w:r>
    </w:p>
    <w:p>
      <w:pPr>
        <w:spacing w:after="60"/>
        <w:ind w:left="346" w:hanging="346"/>
      </w:pPr>
      <w:r>
        <w:rPr>
          <w:rFonts w:ascii="Arial" w:hAnsi="Arial"/>
        </w:rPr>
        <w:t>6.  Select Generate report and then PDF or Excel.</w:t>
      </w:r>
    </w:p>
    <w:p>
      <w:pPr>
        <w:pStyle w:val="Heading2"/>
      </w:pPr>
      <w:r>
        <w:t>Report contents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Section</w:t>
            </w:r>
          </w:p>
        </w:tc>
        <w:tc>
          <w:tcPr>
            <w:tcW w:type="dxa" w:w="6480"/>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8"/>
              </w:rPr>
              <w:t>Includes</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Activity</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New, reviewed, status changes and converted to PO.</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Financial summary</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Pending value, quoted value for POs, final PO value and variance.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Losses</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Count and chart by loss reason.</w:t>
            </w:r>
          </w:p>
        </w:tc>
      </w:tr>
      <w:tr>
        <w:tc>
          <w:tcPr>
            <w:tcW w:type="dxa" w:w="28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color w:val="000000"/>
                <w:sz w:val="18"/>
              </w:rPr>
              <w:t>QT versus PO</w:t>
            </w:r>
          </w:p>
        </w:tc>
        <w:tc>
          <w:tcPr>
            <w:tcW w:type="dxa" w:w="6480"/>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8"/>
              </w:rPr>
              <w:t>PO date, quoted value, final value and comparison.</w:t>
            </w:r>
          </w:p>
        </w:tc>
      </w:tr>
    </w:tbl>
    <w:p>
      <w:pPr>
        <w:spacing w:after="0"/>
      </w:pPr>
    </w:p>
    <w:p>
      <w:pPr>
        <w:pStyle w:val="Heading2"/>
      </w:pPr>
      <w:r>
        <w:t>Good practices</w:t>
      </w:r>
    </w:p>
    <w:p>
      <w:pPr>
        <w:pStyle w:val="ListBullet"/>
      </w:pPr>
      <w:r>
        <w:rPr>
          <w:rFonts w:ascii="Arial" w:hAnsi="Arial"/>
        </w:rPr>
        <w:t>Always use your own account; do not share passwords.</w:t>
      </w:r>
    </w:p>
    <w:p>
      <w:pPr>
        <w:pStyle w:val="ListBullet"/>
      </w:pPr>
      <w:r>
        <w:rPr>
          <w:rFonts w:ascii="Arial" w:hAnsi="Arial"/>
        </w:rPr>
        <w:t>Review the preview before confirming an Excel file.</w:t>
      </w:r>
    </w:p>
    <w:p>
      <w:pPr>
        <w:pStyle w:val="ListBullet"/>
      </w:pPr>
      <w:r>
        <w:rPr>
          <w:rFonts w:ascii="Arial" w:hAnsi="Arial"/>
        </w:rPr>
        <w:t>Use View when you only need to read. Use Manage and save when you have actually reviewed the quotation.</w:t>
      </w:r>
    </w:p>
    <w:p>
      <w:pPr>
        <w:pStyle w:val="ListBullet"/>
      </w:pPr>
      <w:r>
        <w:rPr>
          <w:rFonts w:ascii="Arial" w:hAnsi="Arial"/>
        </w:rPr>
        <w:t>Write clear, verifiable comments because they cannot be edited later.</w:t>
      </w:r>
    </w:p>
    <w:p>
      <w:pPr>
        <w:pStyle w:val="ListBullet"/>
      </w:pPr>
      <w:r>
        <w:rPr>
          <w:rFonts w:ascii="Arial" w:hAnsi="Arial"/>
        </w:rPr>
        <w:t>Log out when finished, especially on shared computers.</w:t>
      </w:r>
    </w:p>
    <w:p>
      <w:r>
        <w:br w:type="page"/>
      </w:r>
    </w:p>
    <w:p>
      <w:pPr>
        <w:pStyle w:val="Heading1"/>
      </w:pPr>
      <w:r>
        <w:t>8 Quick reference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Situation</w:t>
            </w:r>
          </w:p>
        </w:tc>
        <w:tc>
          <w:tcPr>
            <w:tcW w:type="dxa" w:w="6048"/>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7"/>
              </w:rPr>
              <w:t>What to do</w:t>
            </w:r>
          </w:p>
        </w:tc>
      </w:tr>
      <w:t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Columns do not fit</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Hide the side navigation and use horizontal scrolling.</w:t>
            </w:r>
          </w:p>
        </w:tc>
      </w:tr>
      <w:tr>
        <w:tc>
          <w:tcPr>
            <w:tcW w:type="dxa" w:w="3312"/>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The file shows Unchanged</w:t>
            </w:r>
          </w:p>
        </w:tc>
        <w:tc>
          <w:tcPr>
            <w:tcW w:type="dxa" w:w="604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This is expected when the same records already exist and were not modified.</w:t>
            </w:r>
          </w:p>
        </w:tc>
      </w:tr>
      <w:t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Invalid rows appear</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Cancel, correct the Excel and run another preview.</w:t>
            </w:r>
          </w:p>
        </w:tc>
      </w:tr>
      <w:tr>
        <w:tc>
          <w:tcPr>
            <w:tcW w:type="dxa" w:w="3312"/>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A quotation is missing</w:t>
            </w:r>
          </w:p>
        </w:tc>
        <w:tc>
          <w:tcPr>
            <w:tcW w:type="dxa" w:w="604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Check the USD or JPY workspace, agent, priority, search and relevant list.</w:t>
            </w:r>
          </w:p>
        </w:tc>
      </w:tr>
      <w:t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The PO has several invoices</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Use Add invoice; do not combine numbers or dates in one row.</w:t>
            </w:r>
          </w:p>
        </w:tc>
      </w:tr>
      <w:tr>
        <w:tc>
          <w:tcPr>
            <w:tcW w:type="dxa" w:w="3312"/>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The quotation remains in PO Date Missing</w:t>
            </w:r>
          </w:p>
        </w:tc>
        <w:tc>
          <w:tcPr>
            <w:tcW w:type="dxa" w:w="6048"/>
            <w:shd w:fill="ED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Open Manage, select PO, complete the invoices and save.</w:t>
            </w:r>
          </w:p>
        </w:tc>
      </w:tr>
      <w:t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The report does not include my review</w:t>
            </w:r>
          </w:p>
        </w:tc>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7"/>
              </w:rPr>
              <w:t>Confirm the period, My activity and that you selected Save review.</w:t>
            </w:r>
          </w:p>
        </w:tc>
      </w:tr>
    </w:tbl>
    <w:p>
      <w:pPr>
        <w:spacing w:after="0"/>
      </w:pPr>
    </w:p>
    <w:p>
      <w:pPr>
        <w:pStyle w:val="Heading2"/>
      </w:pPr>
      <w:r>
        <w:t>Recommended daily workflow</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43"/>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6"/>
              </w:rPr>
              <w:t>1</w:t>
            </w:r>
          </w:p>
        </w:tc>
        <w:tc>
          <w:tcPr>
            <w:tcW w:type="dxa" w:w="1843"/>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6"/>
              </w:rPr>
              <w:t>2</w:t>
            </w:r>
          </w:p>
        </w:tc>
        <w:tc>
          <w:tcPr>
            <w:tcW w:type="dxa" w:w="1843"/>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6"/>
              </w:rPr>
              <w:t>3</w:t>
            </w:r>
          </w:p>
        </w:tc>
        <w:tc>
          <w:tcPr>
            <w:tcW w:type="dxa" w:w="1843"/>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6"/>
              </w:rPr>
              <w:t>4</w:t>
            </w:r>
          </w:p>
        </w:tc>
        <w:tc>
          <w:tcPr>
            <w:tcW w:type="dxa" w:w="1843"/>
            <w:shd w:fill="113E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rial" w:hAnsi="Arial"/>
                <w:b/>
                <w:color w:val="FFFFFF"/>
                <w:sz w:val="16"/>
              </w:rPr>
              <w:t>5</w:t>
            </w:r>
          </w:p>
        </w:tc>
      </w:tr>
      <w:tr>
        <w:tc>
          <w:tcPr>
            <w:tcW w:type="dxa" w:w="18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6"/>
              </w:rPr>
              <w:t>Sign in and select workspace</w:t>
            </w:r>
          </w:p>
        </w:tc>
        <w:tc>
          <w:tcPr>
            <w:tcW w:type="dxa" w:w="18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6"/>
              </w:rPr>
              <w:t>Upload and review Excel</w:t>
            </w:r>
          </w:p>
        </w:tc>
        <w:tc>
          <w:tcPr>
            <w:tcW w:type="dxa" w:w="18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6"/>
              </w:rPr>
              <w:t>Filter my quotations</w:t>
            </w:r>
          </w:p>
        </w:tc>
        <w:tc>
          <w:tcPr>
            <w:tcW w:type="dxa" w:w="18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6"/>
              </w:rPr>
              <w:t>Save follow-ups</w:t>
            </w:r>
          </w:p>
        </w:tc>
        <w:tc>
          <w:tcPr>
            <w:tcW w:type="dxa" w:w="184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rial" w:hAnsi="Arial"/>
                <w:color w:val="000000"/>
                <w:sz w:val="16"/>
              </w:rPr>
              <w:t>Generate report and log out</w:t>
            </w:r>
          </w:p>
        </w:tc>
      </w:tr>
    </w:tbl>
    <w:p>
      <w:pPr>
        <w:spacing w:after="0"/>
      </w:pPr>
    </w:p>
    <w:p>
      <w:r>
        <w:rPr>
          <w:rFonts w:ascii="Arial" w:hAnsi="Arial"/>
        </w:rPr>
        <w:t>Support: if the problem continues, record the screen, quotation number and displayed message, and report them to the system administrator. Do not send passwords.</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788"/>
        <w:sz w:val="16"/>
      </w:rPr>
      <w:t xml:space="preserve">NT Tool Quotation Follow-up  |  </w:t>
    </w:r>
    <w:r>
      <w:rPr>
        <w:rFonts w:ascii="Arial" w:hAnsi="Arial"/>
        <w:color w:val="667788"/>
        <w:sz w:val="16"/>
      </w:rPr>
      <w:t xml:space="preserve">Page </w:t>
    </w:r>
    <w:r>
      <w:rPr>
        <w:rFonts w:ascii="Arial" w:hAnsi="Arial"/>
        <w:color w:val="66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788"/>
        <w:sz w:val="17"/>
      </w:rPr>
      <w:t>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eguimientocotizaciones-nt.up.railwa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Follow-up User Manual</dc:title>
  <dc:subject>NT Tool Quotation Follow-up</dc:subject>
  <dc:creator>NT Tool</dc:creator>
  <cp:keywords>quotations, follow-up, USD, JPY</cp:keywords>
  <dc:description>generated by python-docx</dc:description>
  <cp:lastModifiedBy/>
  <cp:revision>1</cp:revision>
  <dcterms:created xsi:type="dcterms:W3CDTF">2013-12-23T23:15:00Z</dcterms:created>
  <dcterms:modified xsi:type="dcterms:W3CDTF">2013-12-23T23:15:00Z</dcterms:modified>
  <cp:category/>
</cp:coreProperties>
</file>