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4F45" w14:textId="77777777" w:rsidR="008114F1" w:rsidRPr="00EE2D36" w:rsidRDefault="00EE2D36" w:rsidP="00023480">
      <w:pPr>
        <w:pStyle w:val="Textoindependiente"/>
        <w:spacing w:before="75"/>
        <w:rPr>
          <w:i/>
          <w:noProof/>
          <w:lang w:val="es-AR" w:eastAsia="es-AR" w:bidi="ar-SA"/>
        </w:rPr>
      </w:pPr>
      <w:r>
        <w:rPr>
          <w:i/>
          <w:noProof/>
          <w:lang w:val="es-AR" w:eastAsia="es-AR" w:bidi="ar-SA"/>
        </w:rPr>
        <w:drawing>
          <wp:inline distT="0" distB="0" distL="0" distR="0" wp14:anchorId="157E6250" wp14:editId="2C8E5E19">
            <wp:extent cx="811033" cy="939064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6" cy="9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es-AR" w:eastAsia="es-AR" w:bidi="ar-SA"/>
        </w:rPr>
        <w:t xml:space="preserve"> </w:t>
      </w:r>
      <w:r w:rsidR="00F451B7" w:rsidRPr="0097390A">
        <w:rPr>
          <w:i/>
        </w:rPr>
        <w:t>Instituto de Formación técnica Superior N° 31</w:t>
      </w:r>
    </w:p>
    <w:p w14:paraId="06B3B6CD" w14:textId="77777777" w:rsidR="00F451B7" w:rsidRDefault="00F451B7">
      <w:pPr>
        <w:pStyle w:val="Textoindependiente"/>
        <w:spacing w:before="82"/>
        <w:ind w:left="788"/>
      </w:pPr>
    </w:p>
    <w:p w14:paraId="1FDDD7AB" w14:textId="753BEFF1" w:rsidR="00D64984" w:rsidRPr="00D64984" w:rsidRDefault="00D64984" w:rsidP="00D64984">
      <w:pPr>
        <w:pStyle w:val="Textoindependiente"/>
        <w:spacing w:before="82"/>
        <w:ind w:left="788"/>
        <w:jc w:val="center"/>
        <w:rPr>
          <w:sz w:val="24"/>
          <w:szCs w:val="24"/>
        </w:rPr>
      </w:pPr>
      <w:r w:rsidRPr="00D64984">
        <w:rPr>
          <w:sz w:val="24"/>
          <w:szCs w:val="24"/>
        </w:rPr>
        <w:t xml:space="preserve">TECNICATURA SUPERIOR EN </w:t>
      </w:r>
      <w:r w:rsidR="00E6661A">
        <w:rPr>
          <w:sz w:val="24"/>
          <w:szCs w:val="24"/>
        </w:rPr>
        <w:t>AUTOMOTORES, HIBRIDOS Y ELECTRICOS</w:t>
      </w:r>
    </w:p>
    <w:p w14:paraId="5DF75901" w14:textId="751E592C" w:rsidR="00D64984" w:rsidRPr="00D64984" w:rsidRDefault="00D64984" w:rsidP="00D64984">
      <w:pPr>
        <w:pStyle w:val="Textoindependiente"/>
        <w:spacing w:before="82"/>
        <w:ind w:left="788"/>
        <w:jc w:val="center"/>
        <w:rPr>
          <w:sz w:val="24"/>
          <w:szCs w:val="24"/>
        </w:rPr>
      </w:pPr>
      <w:r w:rsidRPr="00D64984">
        <w:rPr>
          <w:sz w:val="24"/>
          <w:szCs w:val="24"/>
        </w:rPr>
        <w:t>1AÑO- 1ER CUATRIMESTRE 2023</w:t>
      </w:r>
    </w:p>
    <w:p w14:paraId="1B69D1BA" w14:textId="18EEE2A6" w:rsidR="008114F1" w:rsidRPr="00D64984" w:rsidRDefault="008114F1" w:rsidP="0010443B">
      <w:pPr>
        <w:pStyle w:val="Textoindependiente"/>
        <w:tabs>
          <w:tab w:val="left" w:pos="1890"/>
        </w:tabs>
        <w:rPr>
          <w:sz w:val="24"/>
          <w:szCs w:val="24"/>
        </w:rPr>
      </w:pPr>
    </w:p>
    <w:p w14:paraId="1A23BC15" w14:textId="77777777" w:rsidR="00773628" w:rsidRDefault="00773628" w:rsidP="00D64984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</w:p>
    <w:p w14:paraId="2AB28952" w14:textId="77777777" w:rsidR="00773628" w:rsidRDefault="00773628" w:rsidP="00D64984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</w:p>
    <w:p w14:paraId="11817C92" w14:textId="58629B20" w:rsidR="00773628" w:rsidRDefault="00773628" w:rsidP="00773628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400192EB" w14:textId="77777777" w:rsidR="00773628" w:rsidRPr="00C76537" w:rsidRDefault="00773628" w:rsidP="00773628">
      <w:pPr>
        <w:widowControl/>
        <w:shd w:val="clear" w:color="auto" w:fill="FFFFFF"/>
        <w:autoSpaceDE/>
        <w:autoSpaceDN/>
        <w:rPr>
          <w:rFonts w:eastAsia="Times New Roman"/>
          <w:b/>
          <w:bCs/>
          <w:color w:val="222222"/>
          <w:sz w:val="24"/>
          <w:szCs w:val="24"/>
          <w:u w:val="single"/>
          <w:lang w:val="es-AR" w:eastAsia="es-AR" w:bidi="ar-SA"/>
        </w:rPr>
      </w:pPr>
    </w:p>
    <w:p w14:paraId="76C6A8A4" w14:textId="77777777" w:rsidR="00C76537" w:rsidRDefault="00E6661A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C76537">
        <w:rPr>
          <w:rFonts w:eastAsia="Times New Roman"/>
          <w:b/>
          <w:bCs/>
          <w:color w:val="222222"/>
          <w:sz w:val="24"/>
          <w:szCs w:val="24"/>
          <w:u w:val="single"/>
          <w:lang w:val="es-AR" w:eastAsia="es-AR" w:bidi="ar-SA"/>
        </w:rPr>
        <w:t>Objetivo</w:t>
      </w: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:</w:t>
      </w:r>
      <w:r w:rsidR="00C76537"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</w:t>
      </w:r>
    </w:p>
    <w:p w14:paraId="57B84701" w14:textId="44B79306" w:rsidR="00D75F60" w:rsidRDefault="00C76537" w:rsidP="00D75F60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          </w:t>
      </w:r>
      <w:r w:rsidR="00D75F60"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</w:t>
      </w:r>
      <w:r w:rsidR="00D75F60">
        <w:rPr>
          <w:sz w:val="24"/>
          <w:szCs w:val="24"/>
        </w:rPr>
        <w:t xml:space="preserve">El presente documento </w:t>
      </w:r>
      <w:r w:rsidR="00D75F60" w:rsidRPr="00D64984">
        <w:rPr>
          <w:sz w:val="24"/>
          <w:szCs w:val="24"/>
        </w:rPr>
        <w:t>pretende evidenciar la práctica</w:t>
      </w:r>
      <w:r w:rsidR="00D75F60">
        <w:rPr>
          <w:sz w:val="24"/>
          <w:szCs w:val="24"/>
        </w:rPr>
        <w:t xml:space="preserve"> integral</w:t>
      </w:r>
      <w:r w:rsidR="00D75F60" w:rsidRPr="00D64984">
        <w:rPr>
          <w:sz w:val="24"/>
          <w:szCs w:val="24"/>
        </w:rPr>
        <w:t xml:space="preserve"> llevada a cabo en la carrera, involucrando a las asignaturas que componen el tramo formativo de</w:t>
      </w:r>
      <w:r w:rsidR="00D75F60">
        <w:rPr>
          <w:sz w:val="24"/>
          <w:szCs w:val="24"/>
        </w:rPr>
        <w:t>l</w:t>
      </w:r>
      <w:r w:rsidR="00D75F60" w:rsidRPr="00D64984">
        <w:rPr>
          <w:sz w:val="24"/>
          <w:szCs w:val="24"/>
        </w:rPr>
        <w:t xml:space="preserve"> primer año 1er cuatrimestre</w:t>
      </w:r>
      <w:r w:rsidR="00D75F60">
        <w:rPr>
          <w:sz w:val="24"/>
          <w:szCs w:val="24"/>
        </w:rPr>
        <w:t>. Se pretende con dicha práctica, que los estudiantes logren evidenciar la interrelación que poseen los aprendizajes en las diferentes áreas y como estos aprendizajes poseen su anclaje en cuestiones prácticas de la actividad.</w:t>
      </w:r>
    </w:p>
    <w:p w14:paraId="0868AFA4" w14:textId="77777777" w:rsidR="00D75F60" w:rsidRDefault="00D75F60" w:rsidP="00D75F60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</w:p>
    <w:p w14:paraId="42C3C47D" w14:textId="669627BA" w:rsidR="00C76537" w:rsidRDefault="00C76537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C76537">
        <w:rPr>
          <w:rFonts w:eastAsia="Times New Roman"/>
          <w:b/>
          <w:bCs/>
          <w:color w:val="222222"/>
          <w:sz w:val="24"/>
          <w:szCs w:val="24"/>
          <w:u w:val="single"/>
          <w:lang w:val="es-AR" w:eastAsia="es-AR" w:bidi="ar-SA"/>
        </w:rPr>
        <w:t>Metodología de trabajo</w:t>
      </w: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: </w:t>
      </w:r>
    </w:p>
    <w:p w14:paraId="0CE0FE08" w14:textId="38504303" w:rsidR="00C76537" w:rsidRDefault="00C76537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                                   </w:t>
      </w:r>
      <w:r w:rsidR="00A55001"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</w:t>
      </w: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Los alumnos deberán organizar grupos de trabajo de 5 alumnos por equipo, como máximo. Deberán presentar por escrito la resolución del problema técnico, indicando los fundamentos teóricos</w:t>
      </w:r>
      <w:r w:rsidR="006E503D"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y prácticos.</w:t>
      </w:r>
    </w:p>
    <w:p w14:paraId="5F604648" w14:textId="77777777" w:rsidR="00A55001" w:rsidRDefault="00A55001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7A194FFB" w14:textId="1E5580EA" w:rsidR="00562B51" w:rsidRDefault="00562B51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                                    También deberán demostrar, utilizando pilas alcalinas, en que   circunstancias las pilas pueden asociarse en serie o paralelo. </w:t>
      </w:r>
    </w:p>
    <w:p w14:paraId="268DA64F" w14:textId="77777777" w:rsidR="00A55001" w:rsidRDefault="00A55001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05554227" w14:textId="3D672FAF" w:rsidR="00562B51" w:rsidRDefault="00562B51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                                     Asimismo, con la ayuda de una motor asincrónico trifásico, determinar la corriente nominal y los sistemas de protección a utilizar para su normal funcionamiento</w:t>
      </w:r>
      <w:r w:rsidR="00A55001">
        <w:rPr>
          <w:rFonts w:eastAsia="Times New Roman"/>
          <w:color w:val="222222"/>
          <w:sz w:val="24"/>
          <w:szCs w:val="24"/>
          <w:lang w:val="es-AR" w:eastAsia="es-AR" w:bidi="ar-SA"/>
        </w:rPr>
        <w:t>.</w:t>
      </w:r>
    </w:p>
    <w:p w14:paraId="3BC30C11" w14:textId="77777777" w:rsidR="00A55001" w:rsidRDefault="00A55001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4D47251A" w14:textId="44B2B367" w:rsidR="00A55001" w:rsidRDefault="00C76537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                                        Los alumnos con el asesoramiento y coordinación de los profesore</w:t>
      </w:r>
      <w:r w:rsidR="00A55001">
        <w:rPr>
          <w:rFonts w:eastAsia="Times New Roman"/>
          <w:color w:val="222222"/>
          <w:sz w:val="24"/>
          <w:szCs w:val="24"/>
          <w:lang w:val="es-AR" w:eastAsia="es-AR" w:bidi="ar-SA"/>
        </w:rPr>
        <w:t>s</w:t>
      </w:r>
    </w:p>
    <w:p w14:paraId="4FD632C8" w14:textId="14C52D57" w:rsidR="00E6661A" w:rsidRDefault="00C76537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>
        <w:rPr>
          <w:rFonts w:eastAsia="Times New Roman"/>
          <w:color w:val="222222"/>
          <w:sz w:val="24"/>
          <w:szCs w:val="24"/>
          <w:lang w:val="es-AR" w:eastAsia="es-AR" w:bidi="ar-SA"/>
        </w:rPr>
        <w:t>a cargo de las materias del primer cuatrimestre, deberán dar una solución técnica y compatible con la industria automotriz,  a los requerimientos que plantea la siguiente propuesta:</w:t>
      </w:r>
    </w:p>
    <w:p w14:paraId="75C61C3C" w14:textId="77777777" w:rsidR="00E6661A" w:rsidRPr="00E6661A" w:rsidRDefault="00E6661A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1CE0AC8F" w14:textId="5FDF5FFE" w:rsidR="00E6661A" w:rsidRDefault="006E503D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6E503D">
        <w:rPr>
          <w:rFonts w:eastAsia="Times New Roman"/>
          <w:b/>
          <w:bCs/>
          <w:color w:val="222222"/>
          <w:sz w:val="24"/>
          <w:szCs w:val="24"/>
          <w:u w:val="single"/>
          <w:lang w:val="es-AR" w:eastAsia="es-AR" w:bidi="ar-SA"/>
        </w:rPr>
        <w:t>Consigna de trabajo</w:t>
      </w:r>
      <w:r>
        <w:rPr>
          <w:rFonts w:eastAsia="Times New Roman"/>
          <w:color w:val="222222"/>
          <w:sz w:val="24"/>
          <w:szCs w:val="24"/>
          <w:lang w:val="es-AR" w:eastAsia="es-AR" w:bidi="ar-SA"/>
        </w:rPr>
        <w:t>:</w:t>
      </w:r>
    </w:p>
    <w:p w14:paraId="62588517" w14:textId="77777777" w:rsidR="00E6661A" w:rsidRPr="00E6661A" w:rsidRDefault="00E6661A" w:rsidP="00E6661A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50D3DCAC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1) Se desea reconvertir un automóvil de combustión interna en híbrido. Las prestaciones originales son velocidad de crucero de 85 km/h utilizando ruedas cuyas medidas son 315/70 R 22,5, con una relación de transmisión de 2,68 ,y un par de rotación de 2500 Nm.</w:t>
      </w:r>
    </w:p>
    <w:p w14:paraId="6AC5A246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Se desea agregar un motor/ generador eléctrico que aporte el 20% de la potencia entregada por el de combustión interna, generando un ahorro en el consumo de combustible fósil.</w:t>
      </w:r>
    </w:p>
    <w:p w14:paraId="3AEF57EF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a) Calcular la potencia del motor eléctrico.</w:t>
      </w:r>
    </w:p>
    <w:p w14:paraId="0B0D3316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b) Si la tensión de trabajo del motor eléctrico es de 210 voltios, cual será la corriente requerida.</w:t>
      </w:r>
    </w:p>
    <w:p w14:paraId="146D7C81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lastRenderedPageBreak/>
        <w:t>c) Si se utiliza una batería de polímero de Litio con una tensión por celda de 7 V, cuantas celdas se requerirán para proveer una tensión de 210 volts y como es el conexionado.</w:t>
      </w:r>
    </w:p>
    <w:p w14:paraId="474E2C77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d) Como será la disposición de los motores de combustión interna y eléctrico?</w:t>
      </w:r>
    </w:p>
    <w:p w14:paraId="1D0CB5A3" w14:textId="77777777" w:rsidR="00E6661A" w:rsidRPr="00E6661A" w:rsidRDefault="00E6661A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 xml:space="preserve">e) Considerando que el motor de combustión funciona con nafta </w:t>
      </w:r>
      <w:proofErr w:type="spellStart"/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premiun</w:t>
      </w:r>
      <w:proofErr w:type="spellEnd"/>
      <w:r w:rsidRPr="00E6661A">
        <w:rPr>
          <w:rFonts w:eastAsia="Times New Roman"/>
          <w:color w:val="222222"/>
          <w:sz w:val="24"/>
          <w:szCs w:val="24"/>
          <w:lang w:val="es-AR" w:eastAsia="es-AR" w:bidi="ar-SA"/>
        </w:rPr>
        <w:t>, cual será el ahorro de combustible, suponiendo un recorrido de 2 horas de duración, a los valores de crucero antes citados y un rendimiento del 30% en el consumo del combustible</w:t>
      </w:r>
    </w:p>
    <w:p w14:paraId="26CBAF44" w14:textId="77777777" w:rsidR="00773628" w:rsidRDefault="00773628" w:rsidP="00E6661A">
      <w:pPr>
        <w:widowControl/>
        <w:shd w:val="clear" w:color="auto" w:fill="FFFFFF"/>
        <w:autoSpaceDE/>
        <w:autoSpaceDN/>
        <w:spacing w:line="360" w:lineRule="auto"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6F0F7886" w14:textId="77777777" w:rsidR="00773628" w:rsidRDefault="00773628" w:rsidP="00773628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3F8FAF0E" w14:textId="77777777" w:rsidR="00773628" w:rsidRDefault="00773628" w:rsidP="00773628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063B8807" w14:textId="77777777" w:rsidR="00773628" w:rsidRPr="00773628" w:rsidRDefault="00773628" w:rsidP="00773628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  <w:lang w:val="es-AR" w:eastAsia="es-AR" w:bidi="ar-SA"/>
        </w:rPr>
      </w:pPr>
    </w:p>
    <w:p w14:paraId="3FC6E2AF" w14:textId="77777777" w:rsidR="00773628" w:rsidRDefault="00773628" w:rsidP="00D64984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2536"/>
        <w:gridCol w:w="2600"/>
        <w:gridCol w:w="2501"/>
      </w:tblGrid>
      <w:tr w:rsidR="00773628" w:rsidRPr="00773628" w14:paraId="4D19DA7A" w14:textId="77777777" w:rsidTr="00773628">
        <w:trPr>
          <w:trHeight w:val="19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27BBBB1" w14:textId="77777777" w:rsidR="00773628" w:rsidRPr="00773628" w:rsidRDefault="00773628" w:rsidP="007736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  <w:t>Asignatura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FDC6205" w14:textId="77777777" w:rsidR="00773628" w:rsidRPr="00773628" w:rsidRDefault="00773628" w:rsidP="007736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  <w:t xml:space="preserve">Tarea a realizar vinculada al área 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4A94928" w14:textId="77777777" w:rsidR="00773628" w:rsidRPr="00773628" w:rsidRDefault="00773628" w:rsidP="007736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  <w:t xml:space="preserve">Incumbencia 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D688097" w14:textId="77777777" w:rsidR="00773628" w:rsidRPr="00773628" w:rsidRDefault="00773628" w:rsidP="0077362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  <w:t>Logro -Objetivos esperados</w:t>
            </w:r>
          </w:p>
        </w:tc>
      </w:tr>
      <w:tr w:rsidR="00E6661A" w:rsidRPr="00773628" w14:paraId="3C01CBEA" w14:textId="77777777" w:rsidTr="00773628">
        <w:trPr>
          <w:trHeight w:val="19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BC1902E" w14:textId="77777777" w:rsidR="00E6661A" w:rsidRDefault="00E6661A" w:rsidP="005A11E0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BC4F959" w14:textId="77777777" w:rsidR="00E6661A" w:rsidRPr="0079373A" w:rsidRDefault="00E6661A" w:rsidP="005A11E0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373A">
              <w:rPr>
                <w:b/>
                <w:bCs/>
                <w:color w:val="000000"/>
                <w:sz w:val="22"/>
                <w:szCs w:val="22"/>
              </w:rPr>
              <w:t>Motores de Combustión Interna.</w:t>
            </w:r>
          </w:p>
          <w:p w14:paraId="6E9E8D7E" w14:textId="77777777" w:rsidR="00E6661A" w:rsidRPr="0079373A" w:rsidRDefault="00E6661A" w:rsidP="005A11E0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73DF47F1" w14:textId="4404EB3E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D7EFA5" w14:textId="6A547C5A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 xml:space="preserve">          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Cálculo de la potencia del motor de combustión interna.</w:t>
            </w:r>
            <w:r w:rsidRPr="00773628">
              <w:rPr>
                <w:rFonts w:eastAsia="Times New Roman"/>
                <w:color w:val="000000"/>
                <w:lang w:val="es-AR" w:eastAsia="es-AR" w:bidi="ar-SA"/>
              </w:rPr>
              <w:t xml:space="preserve">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179F7" w14:textId="6DCA7324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316B77">
              <w:rPr>
                <w:rFonts w:eastAsia="Times New Roman"/>
                <w:color w:val="000000"/>
                <w:lang w:val="es-AR" w:eastAsia="es-AR" w:bidi="ar-SA"/>
              </w:rPr>
              <w:t>Incorporar a sus conocimientos el cálculo de la potencia de un motor de combustión interna y el gasto est</w:t>
            </w:r>
            <w:r w:rsidR="003F64D8">
              <w:rPr>
                <w:rFonts w:eastAsia="Times New Roman"/>
                <w:color w:val="000000"/>
                <w:lang w:val="es-AR" w:eastAsia="es-AR" w:bidi="ar-SA"/>
              </w:rPr>
              <w:t>i</w:t>
            </w:r>
            <w:r w:rsidR="00316B77">
              <w:rPr>
                <w:rFonts w:eastAsia="Times New Roman"/>
                <w:color w:val="000000"/>
                <w:lang w:val="es-AR" w:eastAsia="es-AR" w:bidi="ar-SA"/>
              </w:rPr>
              <w:t>mado de combustible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0B739" w14:textId="12199B9C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Que el alumno pueda calcular la potencia de un motor de combustión interna, conociendo los parámetros externos del equipo</w:t>
            </w:r>
          </w:p>
        </w:tc>
      </w:tr>
      <w:tr w:rsidR="00E6661A" w:rsidRPr="00773628" w14:paraId="2FC24021" w14:textId="77777777" w:rsidTr="00773628">
        <w:trPr>
          <w:trHeight w:val="19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93F02F9" w14:textId="77777777" w:rsidR="00E6661A" w:rsidRPr="0079373A" w:rsidRDefault="00E6661A" w:rsidP="005A11E0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79373A">
              <w:rPr>
                <w:b/>
                <w:bCs/>
                <w:color w:val="000000"/>
              </w:rPr>
              <w:t>Mediciones y diagnostico Eléctrico- Electrónico</w:t>
            </w:r>
          </w:p>
          <w:p w14:paraId="2BF8B16B" w14:textId="53A70386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B0E70" w14:textId="6D56A1C0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Cálculo de la potencia del motor eléctrico. Definición de la tensión de trabajo. Sistema de carga de la batería. Frenado regenerativo asociación de celdas en serie o paralelo</w:t>
            </w:r>
            <w:r w:rsidR="00DD523F">
              <w:rPr>
                <w:rFonts w:eastAsia="Times New Roman"/>
                <w:color w:val="000000"/>
                <w:lang w:val="es-AR" w:eastAsia="es-AR" w:bidi="ar-SA"/>
              </w:rPr>
              <w:t>. Para ello utilizará un modelo de análisis conformado por pilas alcalinas.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5E435" w14:textId="74116BDC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3F64D8">
              <w:rPr>
                <w:rFonts w:eastAsia="Times New Roman"/>
                <w:color w:val="000000"/>
                <w:lang w:val="es-AR" w:eastAsia="es-AR" w:bidi="ar-SA"/>
              </w:rPr>
              <w:t>Utilización de la Ley de Joule y saber asociar celdas de baterías en serie y paralelo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0B951" w14:textId="0517E667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Que comprenda el funcionamiento de las baterías de litio, su tensión por celda y la</w:t>
            </w:r>
            <w:r w:rsidR="00DD523F">
              <w:rPr>
                <w:rFonts w:eastAsia="Times New Roman"/>
                <w:color w:val="000000"/>
                <w:lang w:val="es-AR" w:eastAsia="es-AR" w:bidi="ar-SA"/>
              </w:rPr>
              <w:t>s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 xml:space="preserve"> distintas formas de asociación.</w:t>
            </w:r>
            <w:r w:rsidR="00DD523F">
              <w:rPr>
                <w:rFonts w:eastAsia="Times New Roman"/>
                <w:color w:val="000000"/>
                <w:lang w:val="es-AR" w:eastAsia="es-AR" w:bidi="ar-SA"/>
              </w:rPr>
              <w:t xml:space="preserve"> </w:t>
            </w:r>
          </w:p>
        </w:tc>
      </w:tr>
      <w:tr w:rsidR="00E6661A" w:rsidRPr="00773628" w14:paraId="712CC7A6" w14:textId="77777777" w:rsidTr="00773628">
        <w:trPr>
          <w:trHeight w:val="19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1440304" w14:textId="77777777" w:rsidR="00E6661A" w:rsidRPr="0079373A" w:rsidRDefault="00E6661A" w:rsidP="005A11E0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79373A">
              <w:rPr>
                <w:b/>
                <w:bCs/>
                <w:color w:val="000000"/>
              </w:rPr>
              <w:t>Mediciones y diagnostico Mecánicos</w:t>
            </w:r>
          </w:p>
          <w:p w14:paraId="4A22F473" w14:textId="1161D563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8BE0A" w14:textId="0889ED79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 xml:space="preserve">Análisis de los distintos métodos de acople de los motores eléctricos y mecánicos. </w:t>
            </w:r>
            <w:r w:rsidR="00D97A12">
              <w:rPr>
                <w:rFonts w:eastAsia="Times New Roman"/>
                <w:color w:val="000000"/>
                <w:lang w:val="es-AR" w:eastAsia="es-AR" w:bidi="ar-SA"/>
              </w:rPr>
              <w:t>Utilización de los  engranajes planetarios.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F4C70" w14:textId="5EB417A0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3F64D8">
              <w:rPr>
                <w:rFonts w:eastAsia="Times New Roman"/>
                <w:color w:val="000000"/>
                <w:lang w:val="es-AR" w:eastAsia="es-AR" w:bidi="ar-SA"/>
              </w:rPr>
              <w:t>Acople de motores e automóviles híbridos. Utilización de los engranajes planetarios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4577A" w14:textId="092621A2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Que comprenda los distintos sistemas de acoples de los motores eléctricos y de combustión interna en la automóviles híbridos.</w:t>
            </w:r>
          </w:p>
        </w:tc>
      </w:tr>
      <w:tr w:rsidR="00E6661A" w:rsidRPr="00773628" w14:paraId="117BC6DE" w14:textId="77777777" w:rsidTr="00773628">
        <w:trPr>
          <w:trHeight w:val="19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1C3B8BC" w14:textId="77777777" w:rsidR="00E6661A" w:rsidRPr="0079373A" w:rsidRDefault="00E6661A" w:rsidP="005A11E0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373A">
              <w:rPr>
                <w:b/>
                <w:bCs/>
                <w:color w:val="000000"/>
                <w:sz w:val="22"/>
                <w:szCs w:val="22"/>
              </w:rPr>
              <w:lastRenderedPageBreak/>
              <w:t>Máquinas Eléctricas</w:t>
            </w:r>
          </w:p>
          <w:p w14:paraId="5C92DA50" w14:textId="77777777" w:rsidR="00E6661A" w:rsidRPr="0079373A" w:rsidRDefault="00E6661A" w:rsidP="005A11E0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5DF40D76" w14:textId="5934984D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AR" w:eastAsia="es-AR" w:bidi="ar-SA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53FC1" w14:textId="5E33C8FD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6E503D">
              <w:rPr>
                <w:rFonts w:eastAsia="Times New Roman"/>
                <w:color w:val="000000"/>
                <w:lang w:val="es-AR" w:eastAsia="es-AR" w:bidi="ar-SA"/>
              </w:rPr>
              <w:t>Estudio del motor eléctrico y su utilización como generador sincrónico para la carga de la batería en base al sistema de frenado regenerativo.</w:t>
            </w:r>
            <w:r w:rsidR="00DD523F">
              <w:rPr>
                <w:rFonts w:eastAsia="Times New Roman"/>
                <w:color w:val="000000"/>
                <w:lang w:val="es-AR" w:eastAsia="es-AR" w:bidi="ar-SA"/>
              </w:rPr>
              <w:t xml:space="preserve"> Para ello</w:t>
            </w:r>
            <w:r w:rsidR="0008762A">
              <w:rPr>
                <w:rFonts w:eastAsia="Times New Roman"/>
                <w:color w:val="000000"/>
                <w:lang w:val="es-AR" w:eastAsia="es-AR" w:bidi="ar-SA"/>
              </w:rPr>
              <w:t xml:space="preserve"> se</w:t>
            </w:r>
            <w:r w:rsidR="00DD523F">
              <w:rPr>
                <w:rFonts w:eastAsia="Times New Roman"/>
                <w:color w:val="000000"/>
                <w:lang w:val="es-AR" w:eastAsia="es-AR" w:bidi="ar-SA"/>
              </w:rPr>
              <w:t xml:space="preserve"> utilizará un motor asincrónico trifásico como ayuda a comprender el cálculo de la potencia y las protecciones de operación necesarias.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BD1CA" w14:textId="3110C085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3F64D8">
              <w:rPr>
                <w:rFonts w:eastAsia="Times New Roman"/>
                <w:color w:val="000000"/>
                <w:lang w:val="es-AR" w:eastAsia="es-AR" w:bidi="ar-SA"/>
              </w:rPr>
              <w:t>C</w:t>
            </w:r>
            <w:r w:rsidR="00FC5318">
              <w:rPr>
                <w:rFonts w:eastAsia="Times New Roman"/>
                <w:color w:val="000000"/>
                <w:lang w:val="es-AR" w:eastAsia="es-AR" w:bidi="ar-SA"/>
              </w:rPr>
              <w:t>á</w:t>
            </w:r>
            <w:r w:rsidR="003F64D8">
              <w:rPr>
                <w:rFonts w:eastAsia="Times New Roman"/>
                <w:color w:val="000000"/>
                <w:lang w:val="es-AR" w:eastAsia="es-AR" w:bidi="ar-SA"/>
              </w:rPr>
              <w:t>lculo de ahorro de energía con la utilización del frenado regenerativo.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C03D5" w14:textId="2A675A37" w:rsidR="00E6661A" w:rsidRPr="00773628" w:rsidRDefault="00E6661A" w:rsidP="00773628">
            <w:pPr>
              <w:widowControl/>
              <w:autoSpaceDE/>
              <w:autoSpaceDN/>
              <w:rPr>
                <w:rFonts w:eastAsia="Times New Roman"/>
                <w:color w:val="000000"/>
                <w:lang w:val="es-AR" w:eastAsia="es-AR" w:bidi="ar-SA"/>
              </w:rPr>
            </w:pPr>
            <w:r w:rsidRPr="00773628">
              <w:rPr>
                <w:rFonts w:eastAsia="Times New Roman"/>
                <w:color w:val="000000"/>
                <w:lang w:val="es-AR" w:eastAsia="es-AR" w:bidi="ar-SA"/>
              </w:rPr>
              <w:t> </w:t>
            </w:r>
            <w:r w:rsidR="00D97A12">
              <w:rPr>
                <w:rFonts w:eastAsia="Times New Roman"/>
                <w:color w:val="000000"/>
                <w:lang w:val="es-AR" w:eastAsia="es-AR" w:bidi="ar-SA"/>
              </w:rPr>
              <w:t>Que el alumno comprenda el funcionamiento del motor eléctrico/alternador en los autos eléctricos e híbridos.</w:t>
            </w:r>
          </w:p>
        </w:tc>
      </w:tr>
    </w:tbl>
    <w:p w14:paraId="7AFCECE6" w14:textId="77777777" w:rsidR="00773628" w:rsidRPr="00D64984" w:rsidRDefault="00773628" w:rsidP="00D64984">
      <w:pPr>
        <w:pStyle w:val="Textoindependiente"/>
        <w:tabs>
          <w:tab w:val="left" w:pos="1890"/>
        </w:tabs>
        <w:spacing w:line="360" w:lineRule="auto"/>
        <w:jc w:val="both"/>
        <w:rPr>
          <w:sz w:val="24"/>
          <w:szCs w:val="24"/>
        </w:rPr>
      </w:pPr>
    </w:p>
    <w:sectPr w:rsidR="00773628" w:rsidRPr="00D64984" w:rsidSect="0010443B">
      <w:footerReference w:type="default" r:id="rId9"/>
      <w:type w:val="continuous"/>
      <w:pgSz w:w="11900" w:h="16840"/>
      <w:pgMar w:top="709" w:right="5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6490" w14:textId="77777777" w:rsidR="00DA6CFA" w:rsidRDefault="00DA6CFA" w:rsidP="000B6307">
      <w:r>
        <w:separator/>
      </w:r>
    </w:p>
  </w:endnote>
  <w:endnote w:type="continuationSeparator" w:id="0">
    <w:p w14:paraId="00817C03" w14:textId="77777777" w:rsidR="00DA6CFA" w:rsidRDefault="00DA6CFA" w:rsidP="000B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3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shd w:val="clear" w:color="auto" w:fill="C2D69B" w:themeFill="accent3" w:themeFillTint="99"/>
      <w:tblLook w:val="04A0" w:firstRow="1" w:lastRow="0" w:firstColumn="1" w:lastColumn="0" w:noHBand="0" w:noVBand="1"/>
    </w:tblPr>
    <w:tblGrid>
      <w:gridCol w:w="10060"/>
      <w:gridCol w:w="231"/>
    </w:tblGrid>
    <w:tr w:rsidR="000B6307" w14:paraId="1BBEAA8B" w14:textId="77777777" w:rsidTr="000B6307">
      <w:trPr>
        <w:trHeight w:val="614"/>
      </w:trPr>
      <w:tc>
        <w:tcPr>
          <w:tcW w:w="10060" w:type="dxa"/>
          <w:shd w:val="clear" w:color="auto" w:fill="C2D69B" w:themeFill="accent3" w:themeFillTint="99"/>
        </w:tcPr>
        <w:p w14:paraId="62AC5214" w14:textId="02A80A08" w:rsidR="000B6307" w:rsidRDefault="000B6307" w:rsidP="000B6307">
          <w:pPr>
            <w:pStyle w:val="Piedepgina"/>
            <w:jc w:val="center"/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Perú 1065. Ciudad Autónoma de Buenos Aires</w:t>
          </w:r>
        </w:p>
        <w:p w14:paraId="3B8AE8C3" w14:textId="03958038" w:rsidR="000B6307" w:rsidRDefault="000B6307" w:rsidP="000B6307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Teléfono: 54-11-70298954 , mail: </w:t>
          </w:r>
          <w:hyperlink r:id="rId1" w:history="1">
            <w:r w:rsidRPr="00A23AEB">
              <w:rPr>
                <w:rStyle w:val="Hipervnculo"/>
                <w:rFonts w:ascii="Helvetica" w:hAnsi="Helvetica"/>
                <w:sz w:val="18"/>
                <w:szCs w:val="18"/>
                <w:shd w:val="clear" w:color="auto" w:fill="F4F4F4"/>
              </w:rPr>
              <w:t>dfts_ifts31_de2@bue.edu.ar</w:t>
            </w:r>
          </w:hyperlink>
        </w:p>
      </w:tc>
      <w:tc>
        <w:tcPr>
          <w:tcW w:w="231" w:type="dxa"/>
          <w:shd w:val="clear" w:color="auto" w:fill="C2D69B" w:themeFill="accent3" w:themeFillTint="99"/>
        </w:tcPr>
        <w:p w14:paraId="5B104F4A" w14:textId="116A4967" w:rsidR="000B6307" w:rsidRDefault="000B6307">
          <w:pPr>
            <w:pStyle w:val="Piedepgina"/>
          </w:pPr>
        </w:p>
      </w:tc>
    </w:tr>
  </w:tbl>
  <w:p w14:paraId="10408324" w14:textId="77777777" w:rsidR="000B6307" w:rsidRDefault="000B63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CDFB" w14:textId="77777777" w:rsidR="00DA6CFA" w:rsidRDefault="00DA6CFA" w:rsidP="000B6307">
      <w:r>
        <w:separator/>
      </w:r>
    </w:p>
  </w:footnote>
  <w:footnote w:type="continuationSeparator" w:id="0">
    <w:p w14:paraId="42AD0B07" w14:textId="77777777" w:rsidR="00DA6CFA" w:rsidRDefault="00DA6CFA" w:rsidP="000B6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CDA"/>
    <w:multiLevelType w:val="hybridMultilevel"/>
    <w:tmpl w:val="AB9CF58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3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F1"/>
    <w:rsid w:val="00023480"/>
    <w:rsid w:val="00023704"/>
    <w:rsid w:val="0008762A"/>
    <w:rsid w:val="000905C2"/>
    <w:rsid w:val="00094478"/>
    <w:rsid w:val="000B6307"/>
    <w:rsid w:val="0010443B"/>
    <w:rsid w:val="00123F01"/>
    <w:rsid w:val="001F301F"/>
    <w:rsid w:val="001F779B"/>
    <w:rsid w:val="002125F5"/>
    <w:rsid w:val="00263343"/>
    <w:rsid w:val="00316B77"/>
    <w:rsid w:val="00332FEE"/>
    <w:rsid w:val="003614ED"/>
    <w:rsid w:val="003F64D8"/>
    <w:rsid w:val="00481EE2"/>
    <w:rsid w:val="00497DDD"/>
    <w:rsid w:val="004B7B11"/>
    <w:rsid w:val="00562B51"/>
    <w:rsid w:val="006961A4"/>
    <w:rsid w:val="006E503D"/>
    <w:rsid w:val="00773628"/>
    <w:rsid w:val="00781885"/>
    <w:rsid w:val="007E61B0"/>
    <w:rsid w:val="008114F1"/>
    <w:rsid w:val="0097390A"/>
    <w:rsid w:val="00A54083"/>
    <w:rsid w:val="00A55001"/>
    <w:rsid w:val="00AC08FE"/>
    <w:rsid w:val="00C546F6"/>
    <w:rsid w:val="00C76537"/>
    <w:rsid w:val="00C847D5"/>
    <w:rsid w:val="00CE544F"/>
    <w:rsid w:val="00D06CF0"/>
    <w:rsid w:val="00D64984"/>
    <w:rsid w:val="00D75F60"/>
    <w:rsid w:val="00D92A1D"/>
    <w:rsid w:val="00D97A12"/>
    <w:rsid w:val="00DA6CFA"/>
    <w:rsid w:val="00DD523F"/>
    <w:rsid w:val="00E14860"/>
    <w:rsid w:val="00E250A3"/>
    <w:rsid w:val="00E6661A"/>
    <w:rsid w:val="00EC021C"/>
    <w:rsid w:val="00EE2D36"/>
    <w:rsid w:val="00F451B7"/>
    <w:rsid w:val="00F85BBA"/>
    <w:rsid w:val="00FB1BA5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871"/>
  <w15:docId w15:val="{4DFB7B21-1437-47D9-B0B5-8FDCB75B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5F60"/>
    <w:rPr>
      <w:rFonts w:ascii="Arial" w:eastAsia="Arial" w:hAnsi="Arial" w:cs="Arial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90A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739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90A"/>
    <w:rPr>
      <w:rFonts w:ascii="Tahoma" w:eastAsia="Arial" w:hAnsi="Tahoma" w:cs="Tahoma"/>
      <w:sz w:val="16"/>
      <w:szCs w:val="1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973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97390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973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0B63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307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B63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307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0B6307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5F60"/>
    <w:rPr>
      <w:rFonts w:ascii="Arial" w:eastAsia="Arial" w:hAnsi="Arial" w:cs="Arial"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fts_ifts31_de2@bue.edu.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FC5B-F3A7-4A95-B28B-ED0A40F43C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Jazmin Painy</cp:lastModifiedBy>
  <cp:revision>2</cp:revision>
  <dcterms:created xsi:type="dcterms:W3CDTF">2023-05-31T18:10:00Z</dcterms:created>
  <dcterms:modified xsi:type="dcterms:W3CDTF">2023-05-31T18:10:00Z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LastSaved">
    <vt:filetime>2020-02-22T00:00:00Z</vt:filetime>
  </property>
</Properties>
</file>