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 de resultados del PROMPT 02</w:t>
      </w:r>
    </w:p>
    <w:p>
      <w:pPr>
        <w:pStyle w:val="Subtitle"/>
      </w:pPr>
      <w:r>
        <w:t>Última Señal</w:t>
        <w:br/>
        <w:t>Diseño completo del Caso 001 La habitación 304</w:t>
      </w:r>
    </w:p>
    <w:p>
      <w:r>
        <w:t>Fecha del reporte: 27 de octubre de 2026. Elaborado por Codex para el responsable del proyecto.</w:t>
      </w:r>
    </w:p>
    <w:p>
      <w:r>
        <w:t>Terminé la elaboración y la revisión documental del Caso 001. El resultado es una especificación de historia, interacción y reglas que permite preparar su implementación posterior. La etapa 02 permanece en proceso porque su criterio de aceptación incluye la revisión editorial del usuario, que todavía está pendiente.</w:t>
      </w:r>
    </w:p>
    <w:p>
      <w:pPr>
        <w:pStyle w:val="Heading1"/>
      </w:pPr>
      <w:r>
        <w:t>Alcance y resultados cuantificados</w:t>
      </w:r>
    </w:p>
    <w:p>
      <w:r>
        <w:t>El trabajo se limitó al diseño y la documentación de un único caso. Se especificaron conversaciones, investigación, audio simulado, despacho, desenlaces y persistencia prevista, sin iniciar el proyecto Godot.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10" w:type="dxa"/>
          <w:bottom w:w="85" w:type="dxa"/>
          <w:right w:w="110" w:type="dxa"/>
        </w:tblCellMar>
      </w:tblPr>
      <w:tblGrid>
        <w:gridCol w:w="6912"/>
        <w:gridCol w:w="2880"/>
      </w:tblGrid>
      <w:tr>
        <w:trPr>
          <w:cantSplit/>
          <w:tblHeader/>
        </w:trPr>
        <w:tc>
          <w:tcPr>
            <w:tcW w:type="dxa" w:w="6912"/>
            <w:vAlign w:val="center"/>
            <w:shd w:fill="DFE9EF"/>
          </w:tcPr>
          <w:p>
            <w:pPr>
              <w:spacing w:before="0" w:after="0" w:line="247" w:lineRule="auto"/>
              <w:jc w:val="left"/>
            </w:pPr>
            <w:r>
              <w:rPr>
                <w:b/>
                <w:color w:val="000000"/>
                <w:sz w:val="21"/>
              </w:rPr>
              <w:t>Elemento diseñado</w:t>
            </w:r>
          </w:p>
        </w:tc>
        <w:tc>
          <w:tcPr>
            <w:tcW w:type="dxa" w:w="2880"/>
            <w:vAlign w:val="center"/>
            <w:shd w:fill="DFE9EF"/>
          </w:tcPr>
          <w:p>
            <w:pPr>
              <w:spacing w:before="0" w:after="0" w:line="247" w:lineRule="auto"/>
              <w:jc w:val="center"/>
            </w:pPr>
            <w:r>
              <w:rPr>
                <w:b/>
                <w:color w:val="000000"/>
                <w:sz w:val="21"/>
              </w:rPr>
              <w:t>Cantidad</w:t>
            </w:r>
          </w:p>
        </w:tc>
      </w:tr>
      <w:tr>
        <w:trPr>
          <w:cantSplit/>
        </w:trPr>
        <w:tc>
          <w:tcPr>
            <w:tcW w:type="dxa" w:w="6912"/>
            <w:vAlign w:val="center"/>
          </w:tcPr>
          <w:p>
            <w:pPr>
              <w:spacing w:before="0" w:after="0" w:line="247" w:lineRule="auto"/>
              <w:jc w:val="left"/>
            </w:pPr>
            <w:r>
              <w:rPr>
                <w:color w:val="000000"/>
                <w:sz w:val="21"/>
              </w:rPr>
              <w:t>Etapas narrativas</w:t>
            </w:r>
          </w:p>
        </w:tc>
        <w:tc>
          <w:tcPr>
            <w:tcW w:type="dxa" w:w="2880"/>
            <w:vAlign w:val="center"/>
          </w:tcPr>
          <w:p>
            <w:pPr>
              <w:spacing w:before="0" w:after="0" w:line="247" w:lineRule="auto"/>
              <w:jc w:val="center"/>
            </w:pPr>
            <w:r>
              <w:rPr>
                <w:color w:val="000000"/>
                <w:sz w:val="21"/>
              </w:rPr>
              <w:t>6</w:t>
            </w:r>
          </w:p>
        </w:tc>
      </w:tr>
      <w:tr>
        <w:trPr>
          <w:cantSplit/>
        </w:trPr>
        <w:tc>
          <w:tcPr>
            <w:tcW w:type="dxa" w:w="6912"/>
            <w:vAlign w:val="center"/>
          </w:tcPr>
          <w:p>
            <w:pPr>
              <w:spacing w:before="0" w:after="0" w:line="247" w:lineRule="auto"/>
              <w:jc w:val="left"/>
            </w:pPr>
            <w:r>
              <w:rPr>
                <w:color w:val="000000"/>
                <w:sz w:val="21"/>
              </w:rPr>
              <w:t>Nodos de diálogo</w:t>
            </w:r>
          </w:p>
        </w:tc>
        <w:tc>
          <w:tcPr>
            <w:tcW w:type="dxa" w:w="2880"/>
            <w:vAlign w:val="center"/>
          </w:tcPr>
          <w:p>
            <w:pPr>
              <w:spacing w:before="0" w:after="0" w:line="247" w:lineRule="auto"/>
              <w:jc w:val="center"/>
            </w:pPr>
            <w:r>
              <w:rPr>
                <w:color w:val="000000"/>
                <w:sz w:val="21"/>
              </w:rPr>
              <w:t>38</w:t>
            </w:r>
          </w:p>
        </w:tc>
      </w:tr>
      <w:tr>
        <w:trPr>
          <w:cantSplit/>
        </w:trPr>
        <w:tc>
          <w:tcPr>
            <w:tcW w:type="dxa" w:w="6912"/>
            <w:vAlign w:val="center"/>
          </w:tcPr>
          <w:p>
            <w:pPr>
              <w:spacing w:before="0" w:after="0" w:line="247" w:lineRule="auto"/>
              <w:jc w:val="left"/>
            </w:pPr>
            <w:r>
              <w:rPr>
                <w:color w:val="000000"/>
                <w:sz w:val="21"/>
              </w:rPr>
              <w:t>Elecciones de diálogo</w:t>
            </w:r>
          </w:p>
        </w:tc>
        <w:tc>
          <w:tcPr>
            <w:tcW w:type="dxa" w:w="2880"/>
            <w:vAlign w:val="center"/>
          </w:tcPr>
          <w:p>
            <w:pPr>
              <w:spacing w:before="0" w:after="0" w:line="247" w:lineRule="auto"/>
              <w:jc w:val="center"/>
            </w:pPr>
            <w:r>
              <w:rPr>
                <w:color w:val="000000"/>
                <w:sz w:val="21"/>
              </w:rPr>
              <w:t>57</w:t>
            </w:r>
          </w:p>
        </w:tc>
      </w:tr>
      <w:tr>
        <w:trPr>
          <w:cantSplit/>
        </w:trPr>
        <w:tc>
          <w:tcPr>
            <w:tcW w:type="dxa" w:w="6912"/>
            <w:vAlign w:val="center"/>
          </w:tcPr>
          <w:p>
            <w:pPr>
              <w:spacing w:before="0" w:after="0" w:line="247" w:lineRule="auto"/>
              <w:jc w:val="left"/>
            </w:pPr>
            <w:r>
              <w:rPr>
                <w:color w:val="000000"/>
                <w:sz w:val="21"/>
              </w:rPr>
              <w:t>Evidencias</w:t>
            </w:r>
          </w:p>
        </w:tc>
        <w:tc>
          <w:tcPr>
            <w:tcW w:type="dxa" w:w="2880"/>
            <w:vAlign w:val="center"/>
          </w:tcPr>
          <w:p>
            <w:pPr>
              <w:spacing w:before="0" w:after="0" w:line="247" w:lineRule="auto"/>
              <w:jc w:val="center"/>
            </w:pPr>
            <w:r>
              <w:rPr>
                <w:color w:val="000000"/>
                <w:sz w:val="21"/>
              </w:rPr>
              <w:t>10</w:t>
            </w:r>
          </w:p>
        </w:tc>
      </w:tr>
      <w:tr>
        <w:trPr>
          <w:cantSplit/>
        </w:trPr>
        <w:tc>
          <w:tcPr>
            <w:tcW w:type="dxa" w:w="6912"/>
            <w:vAlign w:val="center"/>
          </w:tcPr>
          <w:p>
            <w:pPr>
              <w:spacing w:before="0" w:after="0" w:line="247" w:lineRule="auto"/>
              <w:jc w:val="left"/>
            </w:pPr>
            <w:r>
              <w:rPr>
                <w:color w:val="000000"/>
                <w:sz w:val="21"/>
              </w:rPr>
              <w:t>Deducciones</w:t>
            </w:r>
          </w:p>
        </w:tc>
        <w:tc>
          <w:tcPr>
            <w:tcW w:type="dxa" w:w="2880"/>
            <w:vAlign w:val="center"/>
          </w:tcPr>
          <w:p>
            <w:pPr>
              <w:spacing w:before="0" w:after="0" w:line="247" w:lineRule="auto"/>
              <w:jc w:val="center"/>
            </w:pPr>
            <w:r>
              <w:rPr>
                <w:color w:val="000000"/>
                <w:sz w:val="21"/>
              </w:rPr>
              <w:t>4</w:t>
            </w:r>
          </w:p>
        </w:tc>
      </w:tr>
      <w:tr>
        <w:trPr>
          <w:cantSplit/>
        </w:trPr>
        <w:tc>
          <w:tcPr>
            <w:tcW w:type="dxa" w:w="6912"/>
            <w:vAlign w:val="center"/>
          </w:tcPr>
          <w:p>
            <w:pPr>
              <w:spacing w:before="0" w:after="0" w:line="247" w:lineRule="auto"/>
              <w:jc w:val="left"/>
            </w:pPr>
            <w:r>
              <w:rPr>
                <w:color w:val="000000"/>
                <w:sz w:val="21"/>
              </w:rPr>
              <w:t>Grabaciones especificadas</w:t>
            </w:r>
          </w:p>
        </w:tc>
        <w:tc>
          <w:tcPr>
            <w:tcW w:type="dxa" w:w="2880"/>
            <w:vAlign w:val="center"/>
          </w:tcPr>
          <w:p>
            <w:pPr>
              <w:spacing w:before="0" w:after="0" w:line="247" w:lineRule="auto"/>
              <w:jc w:val="center"/>
            </w:pPr>
            <w:r>
              <w:rPr>
                <w:color w:val="000000"/>
                <w:sz w:val="21"/>
              </w:rPr>
              <w:t>2</w:t>
            </w:r>
          </w:p>
        </w:tc>
      </w:tr>
      <w:tr>
        <w:trPr>
          <w:cantSplit/>
        </w:trPr>
        <w:tc>
          <w:tcPr>
            <w:tcW w:type="dxa" w:w="6912"/>
            <w:vAlign w:val="center"/>
          </w:tcPr>
          <w:p>
            <w:pPr>
              <w:spacing w:before="0" w:after="0" w:line="247" w:lineRule="auto"/>
              <w:jc w:val="left"/>
            </w:pPr>
            <w:r>
              <w:rPr>
                <w:color w:val="000000"/>
                <w:sz w:val="21"/>
              </w:rPr>
              <w:t>Unidad de rescate y destinos</w:t>
            </w:r>
          </w:p>
        </w:tc>
        <w:tc>
          <w:tcPr>
            <w:tcW w:type="dxa" w:w="2880"/>
            <w:vAlign w:val="center"/>
          </w:tcPr>
          <w:p>
            <w:pPr>
              <w:spacing w:before="0" w:after="0" w:line="247" w:lineRule="auto"/>
              <w:jc w:val="center"/>
            </w:pPr>
            <w:r>
              <w:rPr>
                <w:color w:val="000000"/>
                <w:sz w:val="21"/>
              </w:rPr>
              <w:t>1 unidad y 2 destinos</w:t>
            </w:r>
          </w:p>
        </w:tc>
      </w:tr>
      <w:tr>
        <w:trPr>
          <w:cantSplit/>
        </w:trPr>
        <w:tc>
          <w:tcPr>
            <w:tcW w:type="dxa" w:w="6912"/>
            <w:vAlign w:val="center"/>
          </w:tcPr>
          <w:p>
            <w:pPr>
              <w:spacing w:before="0" w:after="0" w:line="247" w:lineRule="auto"/>
              <w:jc w:val="left"/>
            </w:pPr>
            <w:r>
              <w:rPr>
                <w:color w:val="000000"/>
                <w:sz w:val="21"/>
              </w:rPr>
              <w:t>Desenlaces</w:t>
            </w:r>
          </w:p>
        </w:tc>
        <w:tc>
          <w:tcPr>
            <w:tcW w:type="dxa" w:w="2880"/>
            <w:vAlign w:val="center"/>
          </w:tcPr>
          <w:p>
            <w:pPr>
              <w:spacing w:before="0" w:after="0" w:line="247" w:lineRule="auto"/>
              <w:jc w:val="center"/>
            </w:pPr>
            <w:r>
              <w:rPr>
                <w:color w:val="000000"/>
                <w:sz w:val="21"/>
              </w:rPr>
              <w:t>3</w:t>
            </w:r>
          </w:p>
        </w:tc>
      </w:tr>
    </w:tbl>
    <w:p>
      <w:pPr>
        <w:spacing w:after="0" w:before="0" w:line="96" w:lineRule="auto"/>
      </w:pPr>
      <w:r>
        <w:rPr>
          <w:sz w:val="6"/>
        </w:rPr>
      </w:r>
    </w:p>
    <w:p>
      <w:r>
        <w:t>Las 57 elecciones corresponden al guion. Las acciones de las herramientas se contabilizan por separado. Las grabaciones están descritas; aún no existen archivos de sonido.</w:t>
      </w:r>
    </w:p>
    <w:p>
      <w:pPr>
        <w:pStyle w:val="Heading1"/>
      </w:pPr>
      <w:r>
        <w:t>Documentos entregados</w:t>
      </w:r>
    </w:p>
    <w:p>
      <w:r>
        <w:t>CASE_001_DESIGN.md reúne sinopsis, personajes, guion completo, árbol de decisiones, pruebas, deducciones, mapa, audio y secuencia de juego. CASE_001_TECHNICAL_SPEC.md define datos, condiciones, efectos, estados y guardado propuesto. CASE_001_TEST_PLAN.md establece recorridos, verificaciones y casos límite. Los tres se encuentran en docs/cases/.</w:t>
      </w:r>
    </w:p>
    <w:p>
      <w:r>
        <w:t>También actualicé AGENTS.md y los documentos GDD, STORY_BIBLE, ROADMAP, PROGRESS y DECISIONS. Registré seis decisiones nuevas, D-011 a D-016, y mantuve el alcance del MVP.</w:t>
      </w:r>
    </w:p>
    <w:p>
      <w:r>
        <w:br w:type="page"/>
      </w:r>
    </w:p>
    <w:p>
      <w:pPr>
        <w:pStyle w:val="Heading1"/>
      </w:pPr>
      <w:r>
        <w:t>Historia y decisiones de diseño</w:t>
      </w:r>
    </w:p>
    <w:p>
      <w:r>
        <w:t>El caso comienza a las 02:17 con una llamada desde la habitación 304 del Hotel Mirador, en Puerto Umbral. La mujer afirma que alguien golpea su puerta. Los archivos sitúan la clausura del hotel tras un incendio de 1981, mientras el testimonio describe un establecimiento en funcionamiento.</w:t>
      </w:r>
    </w:p>
    <w:p>
      <w:r>
        <w:t>La propuesta identifica a la interlocutora como Clara Salcedo y sitúa la llamada el 14 de noviembre de 1998. El recibo que ella lee y el incendio se fechan el 14 de noviembre de 1981. Estas fechas mantienen diecisiete años exactos; nombres y fechas concretas siguen sujetos a revisión editorial.</w:t>
      </w:r>
    </w:p>
    <w:p>
      <w:r>
        <w:t>La investigación permite interpretar los golpes como un aviso de bomberos y reconocer el humo como amenaza del pasillo. El plano y el parte de una unidad exterior aportan información distinta para preparar la puerta de servicio y el descansillo posterior. La deducción principal transforma una instrucción genérica en una indicación precisa de salida.</w:t>
      </w:r>
    </w:p>
    <w:p>
      <w:r>
        <w:t>La cabecera N-4 de la captura puede relacionarse con un anexo que menciona Estación Nadir y Proyecto ECO. Este vínculo documental conserva el misterio: no establece la causa del fuego ni explica el fenómeno. El incendio del hotel tampoco se identifica como el incidente general de Nadir.</w:t>
      </w:r>
    </w:p>
    <w:p>
      <w:pPr>
        <w:pStyle w:val="Heading1"/>
      </w:pPr>
      <w:r>
        <w:t>Mecánicas especificadas</w:t>
      </w:r>
    </w:p>
    <w:p>
      <w:r>
        <w:t>El jugador combina conversaciones ramificadas, consulta de registros, fragmentos de audio con variantes predefinidas, transcripciones, relaciones entre evidencias y despacho de una sola unidad. Confianza y estrés determinan una cooperación derivada; no se almacena otra estadística independiente.</w:t>
      </w:r>
    </w:p>
    <w:p>
      <w:r>
        <w:t>Las consultas y los intentos de deducción no hacen avanzar el peligro. Se puede corregir el destino de la unidad, recuperar información esencial y revisar el plan antes de transmitir. La lectura y el análisis cuentan con alternativas textuales; la disponibilidad de recursos impide duplicar la unidad.</w:t>
      </w:r>
    </w:p>
    <w:p>
      <w:pPr>
        <w:pStyle w:val="Heading1"/>
      </w:pPr>
      <w:r>
        <w:t>Desenlaces y consecuencias</w:t>
      </w:r>
    </w:p>
    <w:p>
      <w:r>
        <w:rPr>
          <w:b/>
        </w:rPr>
        <w:t xml:space="preserve">Resultado favorable. </w:t>
      </w:r>
      <w:r>
        <w:t>Clara comunica que alcanzó el descansillo y puede respirar. Requiere interpretar la amenaza, verificar el acceso posterior, conservar cooperación suficiente y elegir la salida de servicio. La unidad de 1998 no confirma contacto físico con ella.</w:t>
      </w:r>
    </w:p>
    <w:p>
      <w:r>
        <w:rPr>
          <w:b/>
        </w:rPr>
        <w:t xml:space="preserve">Resultado parcial. </w:t>
      </w:r>
      <w:r>
        <w:t>La atención conserva un refugio o una retirada, pero la línea se interrumpe sin evacuación confirmada. Puede faltar una instrucción precisa, cooperación o preparación del acceso; también resulta de elegir mantenerla refugiada.</w:t>
      </w:r>
    </w:p>
    <w:p>
      <w:r>
        <w:rPr>
          <w:b/>
        </w:rPr>
        <w:t xml:space="preserve">Resultado adverso. </w:t>
      </w:r>
      <w:r>
        <w:t>Abrir hacia el pasillo, con confianza agotada y estrés alto por decisiones anteriores, provoca pérdida de contacto entre humo. La advertencia aparece antes de transmitir. No se confirma la muerte de Clara.</w:t>
      </w:r>
    </w:p>
    <w:p>
      <w:r>
        <w:t>Los resultados dependen del estado acumulado, además de la última instrucción. Todos conservan las evidencias descubiertas y la pista N-4; la deducción opcional amplía su relación con ECO.</w:t>
      </w:r>
    </w:p>
    <w:p>
      <w:r>
        <w:br w:type="page"/>
      </w:r>
    </w:p>
    <w:p>
      <w:pPr>
        <w:pStyle w:val="Heading1"/>
      </w:pPr>
      <w:r>
        <w:t>Validaciones documentales realizadas</w:t>
      </w:r>
    </w:p>
    <w:p>
      <w:r>
        <w:t>La revisión combinó comprobaciones estáticas de los documentos y trazas manuales de decisiones. El acceso estructural por sí solo no comprueba las condiciones narrativas; por eso se documentaron recorridos específicos para los tres desenlaces.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10" w:type="dxa"/>
          <w:bottom w:w="85" w:type="dxa"/>
          <w:right w:w="110" w:type="dxa"/>
        </w:tblCellMar>
      </w:tblPr>
      <w:tblGrid>
        <w:gridCol w:w="2880"/>
        <w:gridCol w:w="6912"/>
      </w:tblGrid>
      <w:tr>
        <w:trPr>
          <w:cantSplit/>
          <w:tblHeader/>
        </w:trPr>
        <w:tc>
          <w:tcPr>
            <w:tcW w:type="dxa" w:w="2880"/>
            <w:vAlign w:val="center"/>
            <w:shd w:fill="DFE9EF"/>
          </w:tcPr>
          <w:p>
            <w:pPr>
              <w:spacing w:before="0" w:after="0" w:line="247" w:lineRule="auto"/>
              <w:jc w:val="left"/>
            </w:pPr>
            <w:r>
              <w:rPr>
                <w:b/>
                <w:color w:val="000000"/>
                <w:sz w:val="21"/>
              </w:rPr>
              <w:t>Comprobación</w:t>
            </w:r>
          </w:p>
        </w:tc>
        <w:tc>
          <w:tcPr>
            <w:tcW w:type="dxa" w:w="6912"/>
            <w:vAlign w:val="center"/>
            <w:shd w:fill="DFE9EF"/>
          </w:tcPr>
          <w:p>
            <w:pPr>
              <w:spacing w:before="0" w:after="0" w:line="247" w:lineRule="auto"/>
              <w:jc w:val="left"/>
            </w:pPr>
            <w:r>
              <w:rPr>
                <w:b/>
                <w:color w:val="000000"/>
                <w:sz w:val="21"/>
              </w:rPr>
              <w:t>Resultado registrado</w:t>
            </w:r>
          </w:p>
        </w:tc>
      </w:tr>
      <w:tr>
        <w:trPr>
          <w:cantSplit/>
        </w:trPr>
        <w:tc>
          <w:tcPr>
            <w:tcW w:type="dxa" w:w="2880"/>
            <w:vAlign w:val="center"/>
          </w:tcPr>
          <w:p>
            <w:pPr>
              <w:spacing w:before="0" w:after="0" w:line="247" w:lineRule="auto"/>
              <w:jc w:val="left"/>
            </w:pPr>
            <w:r>
              <w:rPr>
                <w:color w:val="000000"/>
                <w:sz w:val="21"/>
              </w:rPr>
              <w:t>Guion y destinos</w:t>
            </w:r>
          </w:p>
        </w:tc>
        <w:tc>
          <w:tcPr>
            <w:tcW w:type="dxa" w:w="6912"/>
            <w:vAlign w:val="center"/>
          </w:tcPr>
          <w:p>
            <w:pPr>
              <w:spacing w:before="0" w:after="0" w:line="247" w:lineRule="auto"/>
              <w:jc w:val="left"/>
            </w:pPr>
            <w:r>
              <w:rPr>
                <w:color w:val="000000"/>
                <w:sz w:val="21"/>
              </w:rPr>
              <w:t>38 nodos y 57 elecciones; destinos existentes o terminales, con rutas estructurales de cierre.</w:t>
            </w:r>
          </w:p>
        </w:tc>
      </w:tr>
      <w:tr>
        <w:trPr>
          <w:cantSplit/>
        </w:trPr>
        <w:tc>
          <w:tcPr>
            <w:tcW w:type="dxa" w:w="2880"/>
            <w:vAlign w:val="center"/>
          </w:tcPr>
          <w:p>
            <w:pPr>
              <w:spacing w:before="0" w:after="0" w:line="247" w:lineRule="auto"/>
              <w:jc w:val="left"/>
            </w:pPr>
            <w:r>
              <w:rPr>
                <w:color w:val="000000"/>
                <w:sz w:val="21"/>
              </w:rPr>
              <w:t>Recorridos y recuperación</w:t>
            </w:r>
          </w:p>
        </w:tc>
        <w:tc>
          <w:tcPr>
            <w:tcW w:type="dxa" w:w="6912"/>
            <w:vAlign w:val="center"/>
          </w:tcPr>
          <w:p>
            <w:pPr>
              <w:spacing w:before="0" w:after="0" w:line="247" w:lineRule="auto"/>
              <w:jc w:val="left"/>
            </w:pPr>
            <w:r>
              <w:rPr>
                <w:color w:val="000000"/>
                <w:sz w:val="21"/>
              </w:rPr>
              <w:t>Trazas TR01 a TR08 para finales, errores recuperables, investigación sin audio y pistas opcionales.</w:t>
            </w:r>
          </w:p>
        </w:tc>
      </w:tr>
      <w:tr>
        <w:trPr>
          <w:cantSplit/>
        </w:trPr>
        <w:tc>
          <w:tcPr>
            <w:tcW w:type="dxa" w:w="2880"/>
            <w:vAlign w:val="center"/>
          </w:tcPr>
          <w:p>
            <w:pPr>
              <w:spacing w:before="0" w:after="0" w:line="247" w:lineRule="auto"/>
              <w:jc w:val="left"/>
            </w:pPr>
            <w:r>
              <w:rPr>
                <w:color w:val="000000"/>
                <w:sz w:val="21"/>
              </w:rPr>
              <w:t>Catálogos y referencias</w:t>
            </w:r>
          </w:p>
        </w:tc>
        <w:tc>
          <w:tcPr>
            <w:tcW w:type="dxa" w:w="6912"/>
            <w:vAlign w:val="center"/>
          </w:tcPr>
          <w:p>
            <w:pPr>
              <w:spacing w:before="0" w:after="0" w:line="247" w:lineRule="auto"/>
              <w:jc w:val="left"/>
            </w:pPr>
            <w:r>
              <w:rPr>
                <w:color w:val="000000"/>
                <w:sz w:val="21"/>
              </w:rPr>
              <w:t>10 evidencias y 4 deducciones; 21 enlaces locales válidos al cierre del PROMPT 02.</w:t>
            </w:r>
          </w:p>
        </w:tc>
      </w:tr>
      <w:tr>
        <w:trPr>
          <w:cantSplit/>
        </w:trPr>
        <w:tc>
          <w:tcPr>
            <w:tcW w:type="dxa" w:w="2880"/>
            <w:vAlign w:val="center"/>
          </w:tcPr>
          <w:p>
            <w:pPr>
              <w:spacing w:before="0" w:after="0" w:line="247" w:lineRule="auto"/>
              <w:jc w:val="left"/>
            </w:pPr>
            <w:r>
              <w:rPr>
                <w:color w:val="000000"/>
                <w:sz w:val="21"/>
              </w:rPr>
              <w:t>Reglas de resolución</w:t>
            </w:r>
          </w:p>
        </w:tc>
        <w:tc>
          <w:tcPr>
            <w:tcW w:type="dxa" w:w="6912"/>
            <w:vAlign w:val="center"/>
          </w:tcPr>
          <w:p>
            <w:pPr>
              <w:spacing w:before="0" w:after="0" w:line="247" w:lineRule="auto"/>
              <w:jc w:val="left"/>
            </w:pPr>
            <w:r>
              <w:rPr>
                <w:color w:val="000000"/>
                <w:sz w:val="21"/>
              </w:rPr>
              <w:t>90 combinaciones formales válidas del contrato: 4 favorables, 4 adversas y 82 parciales. Revisión algebraica.</w:t>
            </w:r>
          </w:p>
        </w:tc>
      </w:tr>
      <w:tr>
        <w:trPr>
          <w:cantSplit/>
        </w:trPr>
        <w:tc>
          <w:tcPr>
            <w:tcW w:type="dxa" w:w="2880"/>
            <w:vAlign w:val="center"/>
          </w:tcPr>
          <w:p>
            <w:pPr>
              <w:spacing w:before="0" w:after="0" w:line="247" w:lineRule="auto"/>
              <w:jc w:val="left"/>
            </w:pPr>
            <w:r>
              <w:rPr>
                <w:color w:val="000000"/>
                <w:sz w:val="21"/>
              </w:rPr>
              <w:t>Continuidad y alcance</w:t>
            </w:r>
          </w:p>
        </w:tc>
        <w:tc>
          <w:tcPr>
            <w:tcW w:type="dxa" w:w="6912"/>
            <w:vAlign w:val="center"/>
          </w:tcPr>
          <w:p>
            <w:pPr>
              <w:spacing w:before="0" w:after="0" w:line="247" w:lineRule="auto"/>
              <w:jc w:val="left"/>
            </w:pPr>
            <w:r>
              <w:rPr>
                <w:color w:val="000000"/>
                <w:sz w:val="21"/>
              </w:rPr>
              <w:t>Sin contradicciones detectadas en la revisión documental; MVP de un caso y misterio global abierto.</w:t>
            </w:r>
          </w:p>
        </w:tc>
      </w:tr>
    </w:tbl>
    <w:p>
      <w:pPr>
        <w:spacing w:after="0" w:before="0" w:line="96" w:lineRule="auto"/>
      </w:pPr>
      <w:r>
        <w:rPr>
          <w:sz w:val="6"/>
        </w:rPr>
      </w:r>
    </w:p>
    <w:p>
      <w:r>
        <w:t>El recuento algebraico describe las condiciones del resolutor, no partidas ejecutadas ni frecuencias de resultados. Las trazas manuales complementan esa comprobación con recorridos alcanzables desde el inicio.</w:t>
      </w:r>
    </w:p>
    <w:p>
      <w:pPr>
        <w:pStyle w:val="Heading1"/>
      </w:pPr>
      <w:r>
        <w:t>Pendientes y limitaciones</w:t>
      </w:r>
    </w:p>
    <w:p>
      <w:r>
        <w:t>Falta revisar editorialmente los nombres secundarios, ubicación, fechas exactas, conexión N-4 con ECO y detalle de los cierres. La duración objetivo de 8 a 15 minutos se justifica mediante lectura y acciones previstas, pero requiere medición con partidas reales.</w:t>
      </w:r>
    </w:p>
    <w:p>
      <w:r>
        <w:t>El guardado, la interfaz táctil, la reproducción sonora, el funcionamiento offline y la ejecución Android tienen contratos y pruebas previstas. No existen resultados de ejecución en Godot, exportación de APK o pruebas en dispositivo real. La selección de versión estable del motor y los dispositivos objetivo sigue pendiente.</w:t>
      </w:r>
    </w:p>
    <w:p>
      <w:pPr>
        <w:pStyle w:val="Heading1"/>
      </w:pPr>
      <w:r>
        <w:t>Estado de cierre y siguiente etapa</w:t>
      </w:r>
    </w:p>
    <w:p>
      <w:r>
        <w:t>La entrega documental del PROMPT 02 está terminada y el trabajo se detuvo. El roadmap mantiene la etapa 02 en proceso por la revisión editorial pendiente; las etapas posteriores siguen pendientes. El siguiente alcance autorizable es el PROMPT 03, correspondiente al proyecto Godot, después de revisar el diseño y recibir una instrucción explícita.</w:t>
      </w:r>
    </w:p>
    <w:p>
      <w:r>
        <w:t>No escribí código de juego ni creé escenas, project.godot, recursos visuales o sonoros. No instalé dependencias, realicé commits o pushes ni inicié la programación.</w:t>
      </w:r>
    </w:p>
    <w:p>
      <w:pPr>
        <w:pStyle w:val="Heading1"/>
      </w:pPr>
      <w:r>
        <w:t>Fuentes del reporte</w:t>
      </w:r>
    </w:p>
    <w:p>
      <w:r>
        <w:t>Documentación del proyecto al 27 de octubre de 2026: docs/PROGRESS.md; docs/DECISIONS.md, registros D-011 a D-016; y los tres documentos del Caso 001 en docs/cases/. Este reporte registra los resultados del PROMPT 02 y no cambia su aprobación ni sus reglas.</w:t>
      </w:r>
    </w:p>
    <w:sectPr w:rsidR="00FC693F" w:rsidRPr="0006063C" w:rsidSect="00034616">
      <w:footerReference w:type="default" r:id="rId9"/>
      <w:pgSz w:w="12240" w:h="15840"/>
      <w:pgMar w:top="1037" w:right="1224" w:bottom="1008"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Última Señal  |  PROMPT 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lang w:val="es-MX"/>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resultados del PROMPT 02</dc:title>
  <dc:subject>Última Señal y diseño del Caso 001 La habitación 304</dc:subject>
  <dc:creator>Codex</dc:creator>
  <cp:keywords>Última Señal, PROMPT 02, Caso 001, reporte de resultados</cp:keywords>
  <dc:description/>
  <cp:lastModifiedBy/>
  <cp:revision>1</cp:revision>
  <dcterms:created xsi:type="dcterms:W3CDTF">2013-12-23T23:15:00Z</dcterms:created>
  <dcterms:modified xsi:type="dcterms:W3CDTF">2013-12-23T23:15:00Z</dcterms:modified>
  <cp:category/>
</cp:coreProperties>
</file>