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6D1B" w:rsidRDefault="00B15111" w14:paraId="7D1884EC" w14:textId="3ADE6781">
      <w:r>
        <w:t>Risk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15111" w:rsidTr="0E99D568" w14:paraId="16DD7F60" w14:textId="77777777">
        <w:tc>
          <w:tcPr>
            <w:tcW w:w="2337" w:type="dxa"/>
            <w:tcMar/>
          </w:tcPr>
          <w:p w:rsidR="00B15111" w:rsidRDefault="00B15111" w14:paraId="36DA75D0" w14:textId="2A1603DE">
            <w:r>
              <w:t>Risk</w:t>
            </w:r>
          </w:p>
        </w:tc>
        <w:tc>
          <w:tcPr>
            <w:tcW w:w="2337" w:type="dxa"/>
            <w:tcMar/>
          </w:tcPr>
          <w:p w:rsidR="00B15111" w:rsidRDefault="00B33428" w14:paraId="75E68ABF" w14:textId="711D12D6">
            <w:r>
              <w:t>Risk Description</w:t>
            </w:r>
          </w:p>
        </w:tc>
        <w:tc>
          <w:tcPr>
            <w:tcW w:w="2338" w:type="dxa"/>
            <w:tcMar/>
          </w:tcPr>
          <w:p w:rsidR="00B15111" w:rsidRDefault="00B33428" w14:paraId="2865A797" w14:textId="24618E13">
            <w:r>
              <w:t>Status</w:t>
            </w:r>
          </w:p>
        </w:tc>
        <w:tc>
          <w:tcPr>
            <w:tcW w:w="2338" w:type="dxa"/>
            <w:tcMar/>
          </w:tcPr>
          <w:p w:rsidR="00B15111" w:rsidRDefault="00B33428" w14:paraId="5EDB1C67" w14:textId="0C9DC262">
            <w:r>
              <w:t>Response</w:t>
            </w:r>
          </w:p>
        </w:tc>
      </w:tr>
      <w:tr w:rsidR="005505F6" w:rsidTr="0E99D568" w14:paraId="08C5627C" w14:textId="77777777">
        <w:tc>
          <w:tcPr>
            <w:tcW w:w="2337" w:type="dxa"/>
            <w:tcMar/>
          </w:tcPr>
          <w:p w:rsidR="005505F6" w:rsidRDefault="005505F6" w14:paraId="36DF1D64" w14:textId="6BF608FC">
            <w:r>
              <w:t xml:space="preserve">Feb. </w:t>
            </w:r>
            <w:r w:rsidR="00482F85">
              <w:t>04</w:t>
            </w:r>
          </w:p>
        </w:tc>
        <w:tc>
          <w:tcPr>
            <w:tcW w:w="2337" w:type="dxa"/>
            <w:tcMar/>
          </w:tcPr>
          <w:p w:rsidR="005505F6" w:rsidRDefault="005505F6" w14:paraId="2877604B" w14:textId="77777777"/>
        </w:tc>
        <w:tc>
          <w:tcPr>
            <w:tcW w:w="2338" w:type="dxa"/>
            <w:tcMar/>
          </w:tcPr>
          <w:p w:rsidR="005505F6" w:rsidRDefault="005505F6" w14:paraId="06B5E45B" w14:textId="77777777"/>
        </w:tc>
        <w:tc>
          <w:tcPr>
            <w:tcW w:w="2338" w:type="dxa"/>
            <w:tcMar/>
          </w:tcPr>
          <w:p w:rsidR="005505F6" w:rsidRDefault="005505F6" w14:paraId="0B063900" w14:textId="77777777"/>
        </w:tc>
      </w:tr>
      <w:tr w:rsidR="00B15111" w:rsidTr="0E99D568" w14:paraId="4D47437A" w14:textId="77777777">
        <w:tc>
          <w:tcPr>
            <w:tcW w:w="2337" w:type="dxa"/>
            <w:tcMar/>
          </w:tcPr>
          <w:p w:rsidR="00B15111" w:rsidRDefault="00DA7205" w14:paraId="4A6C4530" w14:textId="67A7CAE5">
            <w:r>
              <w:t>Requirement cost efficiency is not clear</w:t>
            </w:r>
          </w:p>
        </w:tc>
        <w:tc>
          <w:tcPr>
            <w:tcW w:w="2337" w:type="dxa"/>
            <w:tcMar/>
          </w:tcPr>
          <w:p w:rsidR="00B15111" w:rsidRDefault="005505F6" w14:paraId="36A72EEF" w14:textId="374EBA4C">
            <w:r>
              <w:t>We could not determine the exact cost range the stakeholder could accept, which impact our way of designing.</w:t>
            </w:r>
          </w:p>
        </w:tc>
        <w:tc>
          <w:tcPr>
            <w:tcW w:w="2338" w:type="dxa"/>
            <w:tcMar/>
          </w:tcPr>
          <w:p w:rsidR="00B15111" w:rsidRDefault="002367CA" w14:paraId="46C06143" w14:textId="69047113">
            <w:r w:rsidR="002367CA">
              <w:rPr/>
              <w:t>Pending</w:t>
            </w:r>
            <w:r w:rsidRPr="0E99D568" w:rsidR="002367CA">
              <w:rPr>
                <w:color w:val="00B050"/>
              </w:rPr>
              <w:t xml:space="preserve"> (still pending </w:t>
            </w:r>
            <w:r w:rsidRPr="0E99D568" w:rsidR="002367CA">
              <w:rPr>
                <w:color w:val="00B050"/>
              </w:rPr>
              <w:t>march</w:t>
            </w:r>
            <w:r w:rsidRPr="0E99D568" w:rsidR="002367CA">
              <w:rPr>
                <w:color w:val="00B050"/>
              </w:rPr>
              <w:t xml:space="preserve"> 9) </w:t>
            </w:r>
            <w:r w:rsidRPr="0E99D568" w:rsidR="002367CA">
              <w:rPr>
                <w:color w:val="1F3864" w:themeColor="accent1" w:themeTint="FF" w:themeShade="80"/>
              </w:rPr>
              <w:t>(Resolved March 23)</w:t>
            </w:r>
          </w:p>
        </w:tc>
        <w:tc>
          <w:tcPr>
            <w:tcW w:w="2338" w:type="dxa"/>
            <w:tcMar/>
          </w:tcPr>
          <w:p w:rsidR="00B15111" w:rsidRDefault="00DA7205" w14:paraId="716A58C4" w14:textId="27701107">
            <w:r w:rsidR="00DA7205">
              <w:rPr/>
              <w:t>Current solution is to estimate the cost based on research, waiting for stakeholder’s reply.</w:t>
            </w:r>
          </w:p>
          <w:p w:rsidR="00B15111" w:rsidP="0E99D568" w:rsidRDefault="00DA7205" w14:paraId="5D602A65" w14:textId="279FBB95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>Stakeholder has responded with a price range.</w:t>
            </w:r>
          </w:p>
        </w:tc>
      </w:tr>
      <w:tr w:rsidR="00B15111" w:rsidTr="0E99D568" w14:paraId="6D09F8BC" w14:textId="77777777">
        <w:tc>
          <w:tcPr>
            <w:tcW w:w="2337" w:type="dxa"/>
            <w:tcMar/>
          </w:tcPr>
          <w:p w:rsidR="00B15111" w:rsidRDefault="005505F6" w14:paraId="41F4708B" w14:textId="21B63657">
            <w:r>
              <w:t>W</w:t>
            </w:r>
            <w:r w:rsidR="001006FC">
              <w:t>hy stakeholders are so specific about tracking</w:t>
            </w:r>
          </w:p>
        </w:tc>
        <w:tc>
          <w:tcPr>
            <w:tcW w:w="2337" w:type="dxa"/>
            <w:tcMar/>
          </w:tcPr>
          <w:p w:rsidR="00B15111" w:rsidRDefault="001006FC" w14:paraId="598E5A70" w14:textId="1483108D">
            <w:r>
              <w:t>To balance the cost, we assume</w:t>
            </w:r>
            <w:r w:rsidR="00701B05">
              <w:t xml:space="preserve">d that tacking is not the final requirements, but a method to prevent sheep loss. We decide on that the sheep loss is the </w:t>
            </w:r>
            <w:r w:rsidR="0067700B">
              <w:t>final goal.</w:t>
            </w:r>
          </w:p>
        </w:tc>
        <w:tc>
          <w:tcPr>
            <w:tcW w:w="2338" w:type="dxa"/>
            <w:tcMar/>
          </w:tcPr>
          <w:p w:rsidR="00B15111" w:rsidP="0E99D568" w:rsidRDefault="0067700B" w14:paraId="453061A4" w14:textId="6DD37BA8">
            <w:pPr>
              <w:pStyle w:val="Normal"/>
              <w:rPr>
                <w:color w:val="1F3864" w:themeColor="accent1" w:themeTint="FF" w:themeShade="80"/>
              </w:rPr>
            </w:pPr>
            <w:r w:rsidR="0067700B">
              <w:rPr/>
              <w:t>Pending</w:t>
            </w:r>
            <w:r w:rsidRPr="0E99D568" w:rsidR="0067700B">
              <w:rPr>
                <w:color w:val="00B050"/>
              </w:rPr>
              <w:t xml:space="preserve"> (still pending </w:t>
            </w:r>
            <w:r w:rsidRPr="0E99D568" w:rsidR="0067700B">
              <w:rPr>
                <w:color w:val="00B050"/>
              </w:rPr>
              <w:t>march</w:t>
            </w:r>
            <w:r w:rsidRPr="0E99D568" w:rsidR="0067700B">
              <w:rPr>
                <w:color w:val="00B050"/>
              </w:rPr>
              <w:t xml:space="preserve"> 9) </w:t>
            </w:r>
            <w:r w:rsidRPr="0E99D568" w:rsidR="0067700B">
              <w:rPr>
                <w:color w:val="1F3864" w:themeColor="accent1" w:themeTint="FF" w:themeShade="80"/>
              </w:rPr>
              <w:t>(</w:t>
            </w:r>
            <w:r w:rsidRPr="0E99D568" w:rsidR="002367CA">
              <w:rPr>
                <w:color w:val="1F3864" w:themeColor="accent1" w:themeTint="FF" w:themeShade="80"/>
              </w:rPr>
              <w:t>Resolved March 23)</w:t>
            </w:r>
          </w:p>
        </w:tc>
        <w:tc>
          <w:tcPr>
            <w:tcW w:w="2338" w:type="dxa"/>
            <w:tcMar/>
          </w:tcPr>
          <w:p w:rsidR="00B15111" w:rsidRDefault="0067700B" w14:paraId="33B3D097" w14:textId="03253CF2">
            <w:r w:rsidR="0067700B">
              <w:rPr/>
              <w:t xml:space="preserve">After consulting the </w:t>
            </w:r>
            <w:proofErr w:type="spellStart"/>
            <w:r w:rsidR="0067700B">
              <w:rPr/>
              <w:t>FaCs</w:t>
            </w:r>
            <w:proofErr w:type="spellEnd"/>
            <w:r w:rsidR="0067700B">
              <w:rPr/>
              <w:t xml:space="preserve"> and doing rigorous analysis, we believe this decision will not cause too much risk, we are still waiting for stakeholder’s response.</w:t>
            </w:r>
          </w:p>
          <w:p w:rsidR="00B15111" w:rsidP="0E99D568" w:rsidRDefault="0067700B" w14:paraId="2939CC4A" w14:textId="2D7EE0D3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>Stakeholder has responded and tracking IS a requirement.</w:t>
            </w:r>
          </w:p>
          <w:p w:rsidR="00B15111" w:rsidP="0E99D568" w:rsidRDefault="0067700B" w14:paraId="6C1E9A15" w14:textId="7DA4DE46">
            <w:pPr>
              <w:pStyle w:val="Normal"/>
            </w:pPr>
          </w:p>
        </w:tc>
      </w:tr>
      <w:tr w:rsidR="00B15111" w:rsidTr="0E99D568" w14:paraId="26804B3A" w14:textId="77777777">
        <w:tc>
          <w:tcPr>
            <w:tcW w:w="2337" w:type="dxa"/>
            <w:tcMar/>
          </w:tcPr>
          <w:p w:rsidR="00B15111" w:rsidP="4EBD3EBD" w:rsidRDefault="00B15111" w14:paraId="32982DB9" w14:textId="58369BB3">
            <w:pPr>
              <w:rPr>
                <w:color w:val="00B050"/>
              </w:rPr>
            </w:pPr>
            <w:r w:rsidRPr="4EBD3EBD" w:rsidR="4EBD3EBD">
              <w:rPr>
                <w:color w:val="00B050"/>
              </w:rPr>
              <w:t>Mar. 9</w:t>
            </w:r>
          </w:p>
        </w:tc>
        <w:tc>
          <w:tcPr>
            <w:tcW w:w="2337" w:type="dxa"/>
            <w:tcMar/>
          </w:tcPr>
          <w:p w:rsidR="00B15111" w:rsidP="4EBD3EBD" w:rsidRDefault="00B15111" w14:paraId="131EDB91" w14:textId="77777777">
            <w:pPr>
              <w:rPr>
                <w:color w:val="00B050"/>
              </w:rPr>
            </w:pPr>
          </w:p>
        </w:tc>
        <w:tc>
          <w:tcPr>
            <w:tcW w:w="2338" w:type="dxa"/>
            <w:tcMar/>
          </w:tcPr>
          <w:p w:rsidR="00B15111" w:rsidP="4EBD3EBD" w:rsidRDefault="00B15111" w14:paraId="21D9F67C" w14:textId="77777777">
            <w:pPr>
              <w:rPr>
                <w:color w:val="00B050"/>
              </w:rPr>
            </w:pPr>
          </w:p>
        </w:tc>
        <w:tc>
          <w:tcPr>
            <w:tcW w:w="2338" w:type="dxa"/>
            <w:tcMar/>
          </w:tcPr>
          <w:p w:rsidR="00B15111" w:rsidP="4EBD3EBD" w:rsidRDefault="00B15111" w14:paraId="41D1BE5A" w14:textId="77777777">
            <w:pPr>
              <w:rPr>
                <w:color w:val="00B050"/>
              </w:rPr>
            </w:pPr>
          </w:p>
        </w:tc>
      </w:tr>
      <w:tr w:rsidR="4EBD3EBD" w:rsidTr="0E99D568" w14:paraId="37F8014D">
        <w:tc>
          <w:tcPr>
            <w:tcW w:w="2337" w:type="dxa"/>
            <w:tcMar/>
          </w:tcPr>
          <w:p w:rsidR="4EBD3EBD" w:rsidP="4EBD3EBD" w:rsidRDefault="4EBD3EBD" w14:paraId="2BCD36B8" w14:textId="3F85E30A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Scoping of the widget assignment is relatively lax</w:t>
            </w:r>
          </w:p>
        </w:tc>
        <w:tc>
          <w:tcPr>
            <w:tcW w:w="2337" w:type="dxa"/>
            <w:tcMar/>
          </w:tcPr>
          <w:p w:rsidR="4EBD3EBD" w:rsidP="4EBD3EBD" w:rsidRDefault="4EBD3EBD" w14:paraId="41259CAA" w14:textId="79331D53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We only chose to incorporate two sensors and two actuators that are relatively simple to implement</w:t>
            </w:r>
          </w:p>
        </w:tc>
        <w:tc>
          <w:tcPr>
            <w:tcW w:w="2338" w:type="dxa"/>
            <w:tcMar/>
          </w:tcPr>
          <w:p w:rsidR="4EBD3EBD" w:rsidP="4EBD3EBD" w:rsidRDefault="4EBD3EBD" w14:paraId="09B0FA48" w14:textId="6944A021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Resolved</w:t>
            </w:r>
          </w:p>
        </w:tc>
        <w:tc>
          <w:tcPr>
            <w:tcW w:w="2338" w:type="dxa"/>
            <w:tcMar/>
          </w:tcPr>
          <w:p w:rsidR="4EBD3EBD" w:rsidP="4EBD3EBD" w:rsidRDefault="4EBD3EBD" w14:paraId="32FF5AEA" w14:textId="4AF4EF77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We decided that this was acceptable as a team since we were all busy and the design does meet the requirements.</w:t>
            </w:r>
          </w:p>
        </w:tc>
      </w:tr>
      <w:tr w:rsidR="4EBD3EBD" w:rsidTr="0E99D568" w14:paraId="7CB4469E">
        <w:tc>
          <w:tcPr>
            <w:tcW w:w="2337" w:type="dxa"/>
            <w:tcMar/>
          </w:tcPr>
          <w:p w:rsidR="4EBD3EBD" w:rsidP="4EBD3EBD" w:rsidRDefault="4EBD3EBD" w14:paraId="6A1FAF5E" w14:textId="5824B3B6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 xml:space="preserve">Case ordering from </w:t>
            </w:r>
            <w:proofErr w:type="spellStart"/>
            <w:r w:rsidRPr="4EBD3EBD" w:rsidR="4EBD3EBD">
              <w:rPr>
                <w:color w:val="00B050"/>
              </w:rPr>
              <w:t>MyFab</w:t>
            </w:r>
            <w:proofErr w:type="spellEnd"/>
            <w:r w:rsidRPr="4EBD3EBD" w:rsidR="4EBD3EBD">
              <w:rPr>
                <w:color w:val="00B050"/>
              </w:rPr>
              <w:t xml:space="preserve"> may take too long</w:t>
            </w:r>
          </w:p>
        </w:tc>
        <w:tc>
          <w:tcPr>
            <w:tcW w:w="2337" w:type="dxa"/>
            <w:tcMar/>
          </w:tcPr>
          <w:p w:rsidR="4EBD3EBD" w:rsidP="4EBD3EBD" w:rsidRDefault="4EBD3EBD" w14:paraId="3E5ABF37" w14:textId="170A4D81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Since we need to 3D print a case, we need to submit the design early</w:t>
            </w:r>
          </w:p>
        </w:tc>
        <w:tc>
          <w:tcPr>
            <w:tcW w:w="2338" w:type="dxa"/>
            <w:tcMar/>
          </w:tcPr>
          <w:p w:rsidR="4EBD3EBD" w:rsidP="4EBD3EBD" w:rsidRDefault="4EBD3EBD" w14:paraId="5177D3BC" w14:textId="66AC15B0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Resolved</w:t>
            </w:r>
          </w:p>
        </w:tc>
        <w:tc>
          <w:tcPr>
            <w:tcW w:w="2338" w:type="dxa"/>
            <w:tcMar/>
          </w:tcPr>
          <w:p w:rsidR="4EBD3EBD" w:rsidP="4EBD3EBD" w:rsidRDefault="4EBD3EBD" w14:paraId="3DBC1E10" w14:textId="33D056B6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The case was submitted and printed on time thanks to the group being aware of the risks. Also, an extension to the deadline helped to ease time troubles.</w:t>
            </w:r>
          </w:p>
        </w:tc>
      </w:tr>
      <w:tr w:rsidR="4EBD3EBD" w:rsidTr="0E99D568" w14:paraId="5739EEA5">
        <w:tc>
          <w:tcPr>
            <w:tcW w:w="2337" w:type="dxa"/>
            <w:tcMar/>
          </w:tcPr>
          <w:p w:rsidR="4EBD3EBD" w:rsidP="4EBD3EBD" w:rsidRDefault="4EBD3EBD" w14:paraId="2181FA74" w14:textId="32F1368C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Infrared sensor has a melted cap on it</w:t>
            </w:r>
          </w:p>
        </w:tc>
        <w:tc>
          <w:tcPr>
            <w:tcW w:w="2337" w:type="dxa"/>
            <w:tcMar/>
          </w:tcPr>
          <w:p w:rsidR="4EBD3EBD" w:rsidP="4EBD3EBD" w:rsidRDefault="4EBD3EBD" w14:paraId="741DA030" w14:textId="363DBCAC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When testing sensors, faulty wiring made the sensor overheat and melt the cap.</w:t>
            </w:r>
          </w:p>
        </w:tc>
        <w:tc>
          <w:tcPr>
            <w:tcW w:w="2338" w:type="dxa"/>
            <w:tcMar/>
          </w:tcPr>
          <w:p w:rsidR="4EBD3EBD" w:rsidP="4EBD3EBD" w:rsidRDefault="4EBD3EBD" w14:paraId="16CA7988" w14:textId="42F07B23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Resolved</w:t>
            </w:r>
          </w:p>
        </w:tc>
        <w:tc>
          <w:tcPr>
            <w:tcW w:w="2338" w:type="dxa"/>
            <w:tcMar/>
          </w:tcPr>
          <w:p w:rsidR="4EBD3EBD" w:rsidP="4EBD3EBD" w:rsidRDefault="4EBD3EBD" w14:paraId="38197DC8" w14:textId="6C3DB581">
            <w:pPr>
              <w:pStyle w:val="Normal"/>
              <w:rPr>
                <w:color w:val="00B050"/>
              </w:rPr>
            </w:pPr>
            <w:r w:rsidRPr="4EBD3EBD" w:rsidR="4EBD3EBD">
              <w:rPr>
                <w:color w:val="00B050"/>
              </w:rPr>
              <w:t>It was found that the sensor still worked, so it was used in the final design.</w:t>
            </w:r>
          </w:p>
        </w:tc>
      </w:tr>
      <w:tr w:rsidR="0E99D568" w:rsidTr="0E99D568" w14:paraId="3C9973F6">
        <w:tc>
          <w:tcPr>
            <w:tcW w:w="2337" w:type="dxa"/>
            <w:tcMar/>
          </w:tcPr>
          <w:p w:rsidR="0E99D568" w:rsidP="0E99D568" w:rsidRDefault="0E99D568" w14:paraId="36940E6C" w14:textId="6BD7307F">
            <w:pPr>
              <w:pStyle w:val="Normal"/>
              <w:rPr>
                <w:color w:val="00B050"/>
              </w:rPr>
            </w:pPr>
            <w:r w:rsidRPr="0E99D568" w:rsidR="0E99D568">
              <w:rPr>
                <w:color w:val="1F3864" w:themeColor="accent1" w:themeTint="FF" w:themeShade="80"/>
              </w:rPr>
              <w:t>Mar 23</w:t>
            </w:r>
          </w:p>
        </w:tc>
        <w:tc>
          <w:tcPr>
            <w:tcW w:w="2337" w:type="dxa"/>
            <w:tcMar/>
          </w:tcPr>
          <w:p w:rsidR="0E99D568" w:rsidP="0E99D568" w:rsidRDefault="0E99D568" w14:paraId="0388D629" w14:textId="177C6CA6">
            <w:pPr>
              <w:pStyle w:val="Normal"/>
              <w:rPr>
                <w:color w:val="00B050"/>
              </w:rPr>
            </w:pPr>
          </w:p>
        </w:tc>
        <w:tc>
          <w:tcPr>
            <w:tcW w:w="2338" w:type="dxa"/>
            <w:tcMar/>
          </w:tcPr>
          <w:p w:rsidR="0E99D568" w:rsidP="0E99D568" w:rsidRDefault="0E99D568" w14:paraId="60724D3B" w14:textId="5EE6E8AA">
            <w:pPr>
              <w:pStyle w:val="Normal"/>
              <w:rPr>
                <w:color w:val="00B050"/>
              </w:rPr>
            </w:pPr>
          </w:p>
        </w:tc>
        <w:tc>
          <w:tcPr>
            <w:tcW w:w="2338" w:type="dxa"/>
            <w:tcMar/>
          </w:tcPr>
          <w:p w:rsidR="0E99D568" w:rsidP="0E99D568" w:rsidRDefault="0E99D568" w14:paraId="5F25FB9B" w14:textId="306AB546">
            <w:pPr>
              <w:pStyle w:val="Normal"/>
              <w:rPr>
                <w:color w:val="00B050"/>
              </w:rPr>
            </w:pPr>
          </w:p>
        </w:tc>
      </w:tr>
      <w:tr w:rsidR="0E99D568" w:rsidTr="0E99D568" w14:paraId="124D9644">
        <w:tc>
          <w:tcPr>
            <w:tcW w:w="2337" w:type="dxa"/>
            <w:tcMar/>
          </w:tcPr>
          <w:p w:rsidR="0E99D568" w:rsidP="0E99D568" w:rsidRDefault="0E99D568" w14:paraId="55A8019B" w14:textId="2B5B1530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>Waveshare GPS module does not work</w:t>
            </w:r>
          </w:p>
        </w:tc>
        <w:tc>
          <w:tcPr>
            <w:tcW w:w="2337" w:type="dxa"/>
            <w:tcMar/>
          </w:tcPr>
          <w:p w:rsidR="0E99D568" w:rsidP="0E99D568" w:rsidRDefault="0E99D568" w14:paraId="54298F2C" w14:textId="058CEEB7">
            <w:pPr>
              <w:pStyle w:val="Normal"/>
              <w:rPr>
                <w:color w:val="00B050"/>
              </w:rPr>
            </w:pPr>
            <w:r w:rsidRPr="0E99D568" w:rsidR="0E99D568">
              <w:rPr>
                <w:color w:val="1F3864" w:themeColor="accent1" w:themeTint="FF" w:themeShade="80"/>
              </w:rPr>
              <w:t>There is no documentation online, and when the code was finally imported onto the pico, the GPS module was unable to position despite multiple attempts in different outdoor spaces</w:t>
            </w:r>
          </w:p>
        </w:tc>
        <w:tc>
          <w:tcPr>
            <w:tcW w:w="2338" w:type="dxa"/>
            <w:tcMar/>
          </w:tcPr>
          <w:p w:rsidR="0E99D568" w:rsidP="0E99D568" w:rsidRDefault="0E99D568" w14:paraId="266C21E1" w14:textId="642401E4">
            <w:pPr>
              <w:pStyle w:val="Normal"/>
              <w:rPr>
                <w:color w:val="00B050"/>
              </w:rPr>
            </w:pPr>
            <w:r w:rsidRPr="0E99D568" w:rsidR="0E99D568">
              <w:rPr>
                <w:color w:val="1F3864" w:themeColor="accent1" w:themeTint="FF" w:themeShade="80"/>
              </w:rPr>
              <w:t>Resolved</w:t>
            </w:r>
          </w:p>
        </w:tc>
        <w:tc>
          <w:tcPr>
            <w:tcW w:w="2338" w:type="dxa"/>
            <w:tcMar/>
          </w:tcPr>
          <w:p w:rsidR="0E99D568" w:rsidP="0E99D568" w:rsidRDefault="0E99D568" w14:paraId="32A2C2F5" w14:textId="6771EC01">
            <w:pPr>
              <w:pStyle w:val="Normal"/>
              <w:rPr>
                <w:color w:val="00B050"/>
              </w:rPr>
            </w:pPr>
            <w:r w:rsidRPr="0E99D568" w:rsidR="0E99D568">
              <w:rPr>
                <w:color w:val="1F3864" w:themeColor="accent1" w:themeTint="FF" w:themeShade="80"/>
              </w:rPr>
              <w:t xml:space="preserve">The </w:t>
            </w:r>
            <w:proofErr w:type="spellStart"/>
            <w:r w:rsidRPr="0E99D568" w:rsidR="0E99D568">
              <w:rPr>
                <w:color w:val="1F3864" w:themeColor="accent1" w:themeTint="FF" w:themeShade="80"/>
              </w:rPr>
              <w:t>Waveshare</w:t>
            </w:r>
            <w:proofErr w:type="spellEnd"/>
            <w:r w:rsidRPr="0E99D568" w:rsidR="0E99D568">
              <w:rPr>
                <w:color w:val="1F3864" w:themeColor="accent1" w:themeTint="FF" w:themeShade="80"/>
              </w:rPr>
              <w:t xml:space="preserve"> GPS module does not work so we will attempt to use GPS tracking using the bluefruit module.</w:t>
            </w:r>
          </w:p>
        </w:tc>
      </w:tr>
      <w:tr w:rsidR="0E99D568" w:rsidTr="0E99D568" w14:paraId="294EEAC7">
        <w:tc>
          <w:tcPr>
            <w:tcW w:w="2337" w:type="dxa"/>
            <w:tcMar/>
          </w:tcPr>
          <w:p w:rsidR="0E99D568" w:rsidP="0E99D568" w:rsidRDefault="0E99D568" w14:paraId="686A7047" w14:textId="6F1F685C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>Backend database cannot function without knowledge of the data types passed through</w:t>
            </w:r>
          </w:p>
        </w:tc>
        <w:tc>
          <w:tcPr>
            <w:tcW w:w="2337" w:type="dxa"/>
            <w:tcMar/>
          </w:tcPr>
          <w:p w:rsidR="0E99D568" w:rsidP="0E99D568" w:rsidRDefault="0E99D568" w14:paraId="25840738" w14:textId="5E94746D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>Location data, sheep ID all have their own data types, and without the front end figured out it is hard to create a functional database</w:t>
            </w:r>
          </w:p>
        </w:tc>
        <w:tc>
          <w:tcPr>
            <w:tcW w:w="2338" w:type="dxa"/>
            <w:tcMar/>
          </w:tcPr>
          <w:p w:rsidR="0E99D568" w:rsidP="0E99D568" w:rsidRDefault="0E99D568" w14:paraId="066A1808" w14:textId="48397F7E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>Pending GPS module completion (see above)</w:t>
            </w:r>
          </w:p>
        </w:tc>
        <w:tc>
          <w:tcPr>
            <w:tcW w:w="2338" w:type="dxa"/>
            <w:tcMar/>
          </w:tcPr>
          <w:p w:rsidR="0E99D568" w:rsidP="0E99D568" w:rsidRDefault="0E99D568" w14:paraId="737B4E08" w14:textId="222FC6BB">
            <w:pPr>
              <w:pStyle w:val="Normal"/>
              <w:rPr>
                <w:color w:val="1F3864" w:themeColor="accent1" w:themeTint="FF" w:themeShade="80"/>
              </w:rPr>
            </w:pPr>
            <w:r w:rsidRPr="0E99D568" w:rsidR="0E99D568">
              <w:rPr>
                <w:color w:val="1F3864" w:themeColor="accent1" w:themeTint="FF" w:themeShade="80"/>
              </w:rPr>
              <w:t xml:space="preserve">The backend can be completed </w:t>
            </w:r>
            <w:proofErr w:type="gramStart"/>
            <w:r w:rsidRPr="0E99D568" w:rsidR="0E99D568">
              <w:rPr>
                <w:color w:val="1F3864" w:themeColor="accent1" w:themeTint="FF" w:themeShade="80"/>
              </w:rPr>
              <w:t>at a later time</w:t>
            </w:r>
            <w:proofErr w:type="gramEnd"/>
            <w:r w:rsidRPr="0E99D568" w:rsidR="0E99D568">
              <w:rPr>
                <w:color w:val="1F3864" w:themeColor="accent1" w:themeTint="FF" w:themeShade="80"/>
              </w:rPr>
              <w:t xml:space="preserve">, although awareness of this risk should put pressure on the </w:t>
            </w:r>
            <w:proofErr w:type="gramStart"/>
            <w:r w:rsidRPr="0E99D568" w:rsidR="0E99D568">
              <w:rPr>
                <w:color w:val="1F3864" w:themeColor="accent1" w:themeTint="FF" w:themeShade="80"/>
              </w:rPr>
              <w:t>front end</w:t>
            </w:r>
            <w:proofErr w:type="gramEnd"/>
            <w:r w:rsidRPr="0E99D568" w:rsidR="0E99D568">
              <w:rPr>
                <w:color w:val="1F3864" w:themeColor="accent1" w:themeTint="FF" w:themeShade="80"/>
              </w:rPr>
              <w:t xml:space="preserve"> completion.</w:t>
            </w:r>
          </w:p>
        </w:tc>
      </w:tr>
      <w:tr w:rsidR="0E99D568" w:rsidTr="0E99D568" w14:paraId="2B825FAB">
        <w:tc>
          <w:tcPr>
            <w:tcW w:w="2337" w:type="dxa"/>
            <w:tcMar/>
          </w:tcPr>
          <w:p w:rsidR="0E99D568" w:rsidP="0E99D568" w:rsidRDefault="0E99D568" w14:paraId="273DEFA2" w14:textId="361E5175">
            <w:pPr>
              <w:pStyle w:val="Normal"/>
              <w:rPr>
                <w:color w:val="1F3864" w:themeColor="accent1" w:themeTint="FF" w:themeShade="80"/>
              </w:rPr>
            </w:pPr>
          </w:p>
        </w:tc>
        <w:tc>
          <w:tcPr>
            <w:tcW w:w="2337" w:type="dxa"/>
            <w:tcMar/>
          </w:tcPr>
          <w:p w:rsidR="0E99D568" w:rsidP="0E99D568" w:rsidRDefault="0E99D568" w14:paraId="4FADC42E" w14:textId="46591DCE">
            <w:pPr>
              <w:pStyle w:val="Normal"/>
              <w:rPr>
                <w:color w:val="1F3864" w:themeColor="accent1" w:themeTint="FF" w:themeShade="80"/>
              </w:rPr>
            </w:pPr>
          </w:p>
        </w:tc>
        <w:tc>
          <w:tcPr>
            <w:tcW w:w="2338" w:type="dxa"/>
            <w:tcMar/>
          </w:tcPr>
          <w:p w:rsidR="0E99D568" w:rsidP="0E99D568" w:rsidRDefault="0E99D568" w14:paraId="08DF9F8B" w14:textId="0FB8E019">
            <w:pPr>
              <w:pStyle w:val="Normal"/>
              <w:rPr>
                <w:color w:val="1F3864" w:themeColor="accent1" w:themeTint="FF" w:themeShade="80"/>
              </w:rPr>
            </w:pPr>
          </w:p>
        </w:tc>
        <w:tc>
          <w:tcPr>
            <w:tcW w:w="2338" w:type="dxa"/>
            <w:tcMar/>
          </w:tcPr>
          <w:p w:rsidR="0E99D568" w:rsidP="0E99D568" w:rsidRDefault="0E99D568" w14:paraId="0D9F625C" w14:textId="07978F4C">
            <w:pPr>
              <w:pStyle w:val="Normal"/>
              <w:rPr>
                <w:color w:val="1F3864" w:themeColor="accent1" w:themeTint="FF" w:themeShade="80"/>
              </w:rPr>
            </w:pPr>
          </w:p>
        </w:tc>
      </w:tr>
    </w:tbl>
    <w:p w:rsidR="00B15111" w:rsidRDefault="00B15111" w14:paraId="00DD79FD" w14:textId="77777777"/>
    <w:sectPr w:rsidR="00B15111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3B4"/>
    <w:rsid w:val="00016D1B"/>
    <w:rsid w:val="001006FC"/>
    <w:rsid w:val="002367CA"/>
    <w:rsid w:val="00296456"/>
    <w:rsid w:val="00482F85"/>
    <w:rsid w:val="005505F6"/>
    <w:rsid w:val="005C587B"/>
    <w:rsid w:val="0067700B"/>
    <w:rsid w:val="00701B05"/>
    <w:rsid w:val="00AF73B4"/>
    <w:rsid w:val="00B15111"/>
    <w:rsid w:val="00B33428"/>
    <w:rsid w:val="00DA7205"/>
    <w:rsid w:val="07801509"/>
    <w:rsid w:val="0B6234A6"/>
    <w:rsid w:val="0DADFFFB"/>
    <w:rsid w:val="0DADFFFB"/>
    <w:rsid w:val="0DEF568D"/>
    <w:rsid w:val="0E99D568"/>
    <w:rsid w:val="3D3AD8C5"/>
    <w:rsid w:val="46774E7E"/>
    <w:rsid w:val="4EBD3EBD"/>
    <w:rsid w:val="533CA929"/>
    <w:rsid w:val="5A3D412B"/>
    <w:rsid w:val="5C890C80"/>
    <w:rsid w:val="5DD74E62"/>
    <w:rsid w:val="5DD74E62"/>
    <w:rsid w:val="5E24DCE1"/>
    <w:rsid w:val="7B0848DC"/>
    <w:rsid w:val="7BF41E49"/>
    <w:rsid w:val="7F2BBF0B"/>
    <w:rsid w:val="7F2BBF0B"/>
    <w:rsid w:val="7FDF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7A20"/>
  <w15:chartTrackingRefBased/>
  <w15:docId w15:val="{FB3B637D-6E1C-459B-B132-AABD16943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511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A2261462F1BF4B8F55C8F4835D8172" ma:contentTypeVersion="13" ma:contentTypeDescription="Create a new document." ma:contentTypeScope="" ma:versionID="7ee19fb2e1a43d1b0ac662caf6f8810b">
  <xsd:schema xmlns:xsd="http://www.w3.org/2001/XMLSchema" xmlns:xs="http://www.w3.org/2001/XMLSchema" xmlns:p="http://schemas.microsoft.com/office/2006/metadata/properties" xmlns:ns2="bd485dac-801c-4085-9b9c-71b9d1706e21" xmlns:ns3="b3b09bcf-0c0d-4ffe-9b3c-71de782847c8" targetNamespace="http://schemas.microsoft.com/office/2006/metadata/properties" ma:root="true" ma:fieldsID="178a48930cb1aac8e81e6636622f344a" ns2:_="" ns3:_="">
    <xsd:import namespace="bd485dac-801c-4085-9b9c-71b9d1706e21"/>
    <xsd:import namespace="b3b09bcf-0c0d-4ffe-9b3c-71de782847c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485dac-801c-4085-9b9c-71b9d1706e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b09bcf-0c0d-4ffe-9b3c-71de78284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1B306D-CC31-4BE7-9825-41B8616A5152}"/>
</file>

<file path=customXml/itemProps2.xml><?xml version="1.0" encoding="utf-8"?>
<ds:datastoreItem xmlns:ds="http://schemas.openxmlformats.org/officeDocument/2006/customXml" ds:itemID="{E510985B-ABB0-4A2E-A576-B9326C20ED51}"/>
</file>

<file path=customXml/itemProps3.xml><?xml version="1.0" encoding="utf-8"?>
<ds:datastoreItem xmlns:ds="http://schemas.openxmlformats.org/officeDocument/2006/customXml" ds:itemID="{21C87087-C014-435F-9A65-9B421FDFFC5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Arielle Zhang</dc:creator>
  <keywords/>
  <dc:description/>
  <lastModifiedBy>Ethan Fong</lastModifiedBy>
  <revision>12</revision>
  <dcterms:created xsi:type="dcterms:W3CDTF">2022-02-07T21:44:00.0000000Z</dcterms:created>
  <dcterms:modified xsi:type="dcterms:W3CDTF">2022-03-23T18:38:13.0436134Z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0x0101007FA2261462F1BF4B8F55C8F4835D8172</vt:lpwstr>
  </property>
</Properties>
</file>