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7.png" ContentType="image/png"/>
  <Override PartName="/word/media/rId36.png" ContentType="image/png"/>
  <Override PartName="/word/media/rId37.png" ContentType="image/png"/>
  <Override PartName="/word/media/rId42.png" ContentType="image/png"/>
  <Override PartName="/word/media/rId43.png" ContentType="image/png"/>
  <Override PartName="/word/media/rId47.png" ContentType="image/png"/>
  <Override PartName="/word/media/rId5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Carbon</w:t>
      </w:r>
      <w:r>
        <w:t xml:space="preserve"> </w:t>
      </w:r>
      <w:r>
        <w:t xml:space="preserve">Modeling</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As global climate change has been brought to the forefront as a critical planetary issue for this century, science has been struggling to understand this ever evolving and strengthening beast. Global climate change is the overall increase of the Earth’s temperature by the input of greenhouse gases into the Earth’s atmosphere, along with its accompanying effects like sea level rise, high drought occurrence, more intense storms, change in precipitation patterns and increased occurrences of heat waves. This increase in temperature not only affects the planet’s atmosphere, but also the terrestrial (land-based) processes involved in the Earth’s crust, both above ground and below ground. One of the most important processes being affected in terrestrial ecosystems is the soil carbon cycle. See the previous blog post 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are models that predict global phenomenon’s through integration of many Earth systems. These models work to integrate the interactions between the atmosphere, plants, soil and water to predict responses to certain conditions, whether it be from stressors or a change in management. ESMs are important for predicting the future effects of climate change on soil carbon stocks. Current ESMs suggest, given the use of best land management practices, there is significant potential for soil to take up a large amount of carbon from the atmosphere within this century – potentially offsetting some greenhouse gas emissions. Modeling, however, can have many assumptions based off lack of complete or existing data and therefore large uncertainties can arise in model predictions. Findings from Heimann and Reichstein (2008) suggest that the relationship between climate and carbon in terrestrial systems is actually a series of nested systems of positive feedback loops. Positive feedback loops are systems that as more changes occur the to the drivers of the system, the system is thrown more and more off equilibrium. An example of a smaller nested system within the large global system is how permafrost in Artic soils is melting due to the increase in global temperate from enhanced greenhouse gas inputs. When the permafrost melts it releases the C trapped within the soil which then oxidizes to form CO2, this then increases the concentration of greenhouse gases in the atmosphere and accelerates the global temperature rise. Accurately accounting for the nested systems within the larger system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il organic carbon (SOC) stocks. (Heimann and Reichmann, 2008)." title="" id="1" name="Picture"/>
            <a:graphic>
              <a:graphicData uri="http://schemas.openxmlformats.org/drawingml/2006/picture">
                <pic:pic>
                  <pic:nvPicPr>
                    <pic:cNvPr descr="images_blog_1\Figure1.png" id="0" name="Picture"/>
                    <pic:cNvPicPr>
                      <a:picLocks noChangeArrowheads="1" noChangeAspect="1"/>
                    </pic:cNvPicPr>
                  </pic:nvPicPr>
                  <pic:blipFill>
                    <a:blip r:embed="rId22"/>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soil organic carbon (SOC) stocks. (Heimann and Reichmann, 2008).</w:t>
      </w:r>
    </w:p>
    <w:p>
      <w:pPr>
        <w:pStyle w:val="BodyText"/>
      </w:pPr>
      <w:r>
        <w:rPr>
          <w:b/>
        </w:rPr>
        <w:t xml:space="preserve">Further Resources</w:t>
      </w:r>
    </w:p>
    <w:p>
      <w:pPr>
        <w:pStyle w:val="BodyText"/>
      </w:pPr>
      <w:r>
        <w:t xml:space="preserve">Todd-Brown et al. 2014</w:t>
      </w:r>
      <w:r>
        <w:t xml:space="preserve"> </w:t>
      </w:r>
      <w:hyperlink r:id="rId23">
        <w:r>
          <w:rPr>
            <w:rStyle w:val="Hyperlink"/>
          </w:rPr>
          <w:t xml:space="preserve">doi</w:t>
        </w:r>
      </w:hyperlink>
      <w:r>
        <w:br w:type="textWrapping"/>
      </w:r>
      <w:r>
        <w:t xml:space="preserve">Heimann and Reichstein (2008)</w:t>
      </w:r>
      <w:r>
        <w:t xml:space="preserve"> </w:t>
      </w:r>
      <w:hyperlink r:id="rId24">
        <w:r>
          <w:rPr>
            <w:rStyle w:val="Hyperlink"/>
          </w:rPr>
          <w:t xml:space="preserve">doi</w:t>
        </w:r>
      </w:hyperlink>
    </w:p>
    <w:p>
      <w:pPr>
        <w:pStyle w:val="Heading1"/>
      </w:pPr>
      <w:bookmarkStart w:id="25" w:name="changing-climate-and-soil-carbon-a-complicated-relationship"/>
      <w:bookmarkEnd w:id="25"/>
      <w:r>
        <w:t xml:space="preserve">Changing climate and soil carbon: A complicated relationship</w:t>
      </w:r>
    </w:p>
    <w:p>
      <w:pPr>
        <w:pStyle w:val="FirstParagraph"/>
      </w:pPr>
      <w:r>
        <w:t xml:space="preserve">Using ESMs to predict soil carbon proves to be challenging because of the variability that exists within soils. Soils vary based off many factors like parent material, climate, organism, time and topography (see Soils and Climate linkages 2aiv. LINK HERE) and therefore there is difficulty in accounting for all these differences within a global model. . Table 1 shows the amount of carbon in each soil by biome. Permafrost and peatlands have some of the highest amounts of soil organic carbon (SOC) trapped within their soils. As the Earth’s temperature increases the carbon stored in these soils is threatened by the melting of these partially frozen soils and therefore reigniting the metabolisms of the microbes in the soil, which then respire CO2 back into the atmosphere. This melting permafrost is a key example of the uncertainties in the global carbon cycle. There are two main sources of uncertainty within ESM to be distinguished, uncertainties in model parameters and uncertainties in the prediction of the model.</w:t>
      </w:r>
    </w:p>
    <w:p>
      <w:pPr>
        <w:pStyle w:val="BodyText"/>
      </w:pPr>
      <w:r>
        <w:t xml:space="preserve">Uncertainties in the model parameters are uncertainties in the values that are programmed into the model to determine the model response. This is both for real data values as well as conceptual values determined by governing equations for a certain set of conditions. Uncertainties in the predict of the model are a function of all the uncertainties in the model parameters as well as the uncertainties that the model is an accurate prediction of the system itself. The main sources of parameter uncertainties in ESMs are climate control on net primary productivity (NPP), soil respiration, tropical forest to savannah conversion, and the turnover time of live carbon or live plant biomass which overall contribute to the uncertainties in the prediction of the model. More about these sources of uncertainty can be found in this sections resources.</w:t>
      </w:r>
    </w:p>
    <w:p>
      <w:pPr>
        <w:pStyle w:val="FigureWithCaption"/>
      </w:pPr>
      <w:r>
        <w:drawing>
          <wp:inline>
            <wp:extent cx="5334000" cy="2485954"/>
            <wp:effectExtent b="0" l="0" r="0" t="0"/>
            <wp:docPr descr="Table 1: SOC by biome given by Jackson et al. 2017" title="" id="1" name="Picture"/>
            <a:graphic>
              <a:graphicData uri="http://schemas.openxmlformats.org/drawingml/2006/picture">
                <pic:pic>
                  <pic:nvPicPr>
                    <pic:cNvPr descr="images_blog_1\Table1.png" id="0" name="Picture"/>
                    <pic:cNvPicPr>
                      <a:picLocks noChangeArrowheads="1" noChangeAspect="1"/>
                    </pic:cNvPicPr>
                  </pic:nvPicPr>
                  <pic:blipFill>
                    <a:blip r:embed="rId26"/>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p>
    <w:p>
      <w:pPr>
        <w:pStyle w:val="BodyText"/>
      </w:pPr>
      <w:r>
        <w:t xml:space="preserve">One effort to reduce uncertainty in model predictions is targeting how model structural representations of carbon turnover influence the projections from the Coupled Model Intercomparsion Project Phase 5 (CMIP5). This model is looking at the two main pools of carbon live (vegetation) and dead (decomposing organic matter) to address how carbon may be changing with climate change. By separating the carbon into two separate pools the variables on carbon feedbacks can be better controlled and manipulated within the model. Along with this however there can be uncertainty in the model structure (number of pools) and the model predictions, therefore it is important to accurately represent both pools. Figure 2 shows the results from the CMIP5 model.</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images_blog_1\Figure2.png" id="0" name="Picture"/>
                    <pic:cNvPicPr>
                      <a:picLocks noChangeArrowheads="1" noChangeAspect="1"/>
                    </pic:cNvPicPr>
                  </pic:nvPicPr>
                  <pic:blipFill>
                    <a:blip r:embed="rId27"/>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BodyText"/>
      </w:pPr>
      <w:r>
        <w:rPr>
          <w:b/>
        </w:rPr>
        <w:t xml:space="preserve">Further Resources</w:t>
      </w:r>
    </w:p>
    <w:p>
      <w:pPr>
        <w:pStyle w:val="BodyText"/>
      </w:pPr>
      <w:r>
        <w:t xml:space="preserve">Olson et al. (2011),</w:t>
      </w:r>
      <w:r>
        <w:t xml:space="preserve"> </w:t>
      </w:r>
      <w:hyperlink r:id="rId28">
        <w:r>
          <w:rPr>
            <w:rStyle w:val="Hyperlink"/>
          </w:rPr>
          <w:t xml:space="preserve">doi</w:t>
        </w:r>
      </w:hyperlink>
      <w:r>
        <w:br w:type="textWrapping"/>
      </w:r>
      <w:r>
        <w:t xml:space="preserve">Fung et al., (2005)</w:t>
      </w:r>
      <w:r>
        <w:t xml:space="preserve"> </w:t>
      </w:r>
      <w:hyperlink r:id="rId29">
        <w:r>
          <w:rPr>
            <w:rStyle w:val="Hyperlink"/>
          </w:rPr>
          <w:t xml:space="preserve">doi</w:t>
        </w:r>
      </w:hyperlink>
      <w:r>
        <w:br w:type="textWrapping"/>
      </w:r>
      <w:r>
        <w:t xml:space="preserve">Jones et al., 2003</w:t>
      </w:r>
      <w:r>
        <w:t xml:space="preserve"> </w:t>
      </w:r>
      <w:hyperlink r:id="rId30">
        <w:r>
          <w:rPr>
            <w:rStyle w:val="Hyperlink"/>
          </w:rPr>
          <w:t xml:space="preserve">doi</w:t>
        </w:r>
      </w:hyperlink>
      <w:r>
        <w:br w:type="textWrapping"/>
      </w:r>
      <w:r>
        <w:t xml:space="preserve">Friedlingstein et al., (2006)</w:t>
      </w:r>
      <w:r>
        <w:t xml:space="preserve"> </w:t>
      </w:r>
      <w:hyperlink r:id="rId31">
        <w:r>
          <w:rPr>
            <w:rStyle w:val="Hyperlink"/>
          </w:rPr>
          <w:t xml:space="preserve">doi</w:t>
        </w:r>
      </w:hyperlink>
      <w:r>
        <w:br w:type="textWrapping"/>
      </w:r>
      <w:r>
        <w:t xml:space="preserve">Friend et al., (2014)</w:t>
      </w:r>
      <w:r>
        <w:t xml:space="preserve"> </w:t>
      </w:r>
      <w:hyperlink r:id="rId32">
        <w:r>
          <w:rPr>
            <w:rStyle w:val="Hyperlink"/>
          </w:rPr>
          <w:t xml:space="preserve">doi</w:t>
        </w:r>
      </w:hyperlink>
      <w:r>
        <w:br w:type="textWrapping"/>
      </w:r>
      <w:r>
        <w:t xml:space="preserve">Koven et al. (2015)</w:t>
      </w:r>
      <w:r>
        <w:t xml:space="preserve"> </w:t>
      </w:r>
      <w:hyperlink r:id="rId33">
        <w:r>
          <w:rPr>
            <w:rStyle w:val="Hyperlink"/>
          </w:rPr>
          <w:t xml:space="preserve">doi</w:t>
        </w:r>
      </w:hyperlink>
      <w:r>
        <w:br w:type="textWrapping"/>
      </w:r>
      <w:r>
        <w:t xml:space="preserve">Koven et al. (2017)</w:t>
      </w:r>
      <w:r>
        <w:t xml:space="preserve"> </w:t>
      </w:r>
      <w:hyperlink r:id="rId34">
        <w:r>
          <w:rPr>
            <w:rStyle w:val="Hyperlink"/>
          </w:rPr>
          <w:t xml:space="preserve">doi</w:t>
        </w:r>
      </w:hyperlink>
    </w:p>
    <w:p>
      <w:pPr>
        <w:pStyle w:val="Heading1"/>
      </w:pPr>
      <w:bookmarkStart w:id="35" w:name="models-for-management-how-esms-help-make-informed-decisions"/>
      <w:bookmarkEnd w:id="35"/>
      <w:r>
        <w:t xml:space="preserve">Models for Management: How ESMs help make informed decisions</w:t>
      </w:r>
    </w:p>
    <w:p>
      <w:pPr>
        <w:pStyle w:val="FirstParagraph"/>
      </w:pPr>
      <w:r>
        <w:t xml:space="preserve">It is important to understand the amount of soil carbon across the globe as well as how it may change through time to manage it correctly. By understanding how soil carbon responds to different management practices we can help manage the land for its best use and for the health of the overall environment. Land use change accounts for 25% of the total anthropogenically sourced greenhouse gases (GHG) in the atmosphere. Of this 25%, the biggest contributors are agriculture and deforestation, making them the two main focuses of many ESMs.</w:t>
      </w:r>
    </w:p>
    <w:p>
      <w:pPr>
        <w:pStyle w:val="FigureWithCaption"/>
      </w:pPr>
      <w:r>
        <w:drawing>
          <wp:inline>
            <wp:extent cx="5334000" cy="3061475"/>
            <wp:effectExtent b="0" l="0" r="0" t="0"/>
            <wp:docPr descr="Figure 3: The total yearly contribution of CO2 from agriculture, forestry and other land uses (FOLU) and the combined agriculture forestry and other land uses (AFOLU) (Tubiello et al., 2015)" title="" id="1" name="Picture"/>
            <a:graphic>
              <a:graphicData uri="http://schemas.openxmlformats.org/drawingml/2006/picture">
                <pic:pic>
                  <pic:nvPicPr>
                    <pic:cNvPr descr="images_blog_1\Figure3.png" id="0" name="Picture"/>
                    <pic:cNvPicPr>
                      <a:picLocks noChangeArrowheads="1" noChangeAspect="1"/>
                    </pic:cNvPicPr>
                  </pic:nvPicPr>
                  <pic:blipFill>
                    <a:blip r:embed="rId36"/>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The total yearly contribution of CO2 from agriculture, forestry and other land uses (FOLU) and the combined agriculture forestry and other land uses (AFOLU) (Tubiello et al., 2015)</w:t>
      </w:r>
    </w:p>
    <w:p>
      <w:pPr>
        <w:pStyle w:val="BodyText"/>
      </w:pPr>
      <w:r>
        <w:t xml:space="preserve">Actions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 4permil. Organic matter is the primary component of SOC and there is a strong positive linear correlation between soil organic matter (SOC) and SOC (Bianchi et al., 2008). These movements however are only possible with an integrated implementation approach spanning stake holders, including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 Modeling is part of the discussion but there are multiple components needed to mitigate the loss of soil C. The other components of SOC management include, field testing and monitoring of SOC across sites, coordination with farmers to ensure the management practices are feasible for their operation and implementation through legislation and regulation. The models can be used to guide the process at multiple levels, but they are never the only tool.</w:t>
      </w:r>
      <w:r>
        <w:t xml:space="preserve"> </w:t>
      </w:r>
      <w:r>
        <w:t xml:space="preserve">The density of vegetation for an area influences the belowground biomass in both roots and decomposing organic matter. Looking back at Figure 2 we can see that tropical and temperate regions host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FigureWithCaption"/>
      </w:pPr>
      <w:r>
        <w:drawing>
          <wp:inline>
            <wp:extent cx="5334000" cy="2154336"/>
            <wp:effectExtent b="0" l="0" r="0" t="0"/>
            <wp:docPr descr="Figure 4: Cross discipline cooperation in model creation and implementation of practice and policies to transition into climate smart agriculture. (Paustian et al., 2016)." title="" id="1" name="Picture"/>
            <a:graphic>
              <a:graphicData uri="http://schemas.openxmlformats.org/drawingml/2006/picture">
                <pic:pic>
                  <pic:nvPicPr>
                    <pic:cNvPr descr="images_blog_1\Figure4.png" id="0" name="Picture"/>
                    <pic:cNvPicPr>
                      <a:picLocks noChangeArrowheads="1" noChangeAspect="1"/>
                    </pic:cNvPicPr>
                  </pic:nvPicPr>
                  <pic:blipFill>
                    <a:blip r:embed="rId37"/>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p>
    <w:p>
      <w:pPr>
        <w:pStyle w:val="BodyText"/>
      </w:pPr>
      <w:r>
        <w:rPr>
          <w:b/>
        </w:rPr>
        <w:t xml:space="preserve">Further Resources</w:t>
      </w:r>
    </w:p>
    <w:p>
      <w:pPr>
        <w:pStyle w:val="BodyText"/>
      </w:pPr>
      <w:r>
        <w:t xml:space="preserve">Tubiello et al., (2015)</w:t>
      </w:r>
      <w:r>
        <w:t xml:space="preserve"> </w:t>
      </w:r>
      <w:hyperlink r:id="rId38">
        <w:r>
          <w:rPr>
            <w:rStyle w:val="Hyperlink"/>
          </w:rPr>
          <w:t xml:space="preserve">doi</w:t>
        </w:r>
      </w:hyperlink>
      <w:r>
        <w:br w:type="textWrapping"/>
      </w:r>
      <w:r>
        <w:t xml:space="preserve">Paustian et al.(2016)</w:t>
      </w:r>
      <w:r>
        <w:t xml:space="preserve"> </w:t>
      </w:r>
      <w:hyperlink r:id="rId39">
        <w:r>
          <w:rPr>
            <w:rStyle w:val="Hyperlink"/>
          </w:rPr>
          <w:t xml:space="preserve">doi</w:t>
        </w:r>
      </w:hyperlink>
      <w:r>
        <w:br w:type="textWrapping"/>
      </w:r>
      <w:r>
        <w:t xml:space="preserve">Bianchi et al. , 2008</w:t>
      </w:r>
      <w:r>
        <w:t xml:space="preserve"> </w:t>
      </w:r>
      <w:hyperlink r:id="rId40">
        <w:r>
          <w:rPr>
            <w:rStyle w:val="Hyperlink"/>
          </w:rPr>
          <w:t xml:space="preserve">doi</w:t>
        </w:r>
      </w:hyperlink>
    </w:p>
    <w:p>
      <w:pPr>
        <w:pStyle w:val="Heading1"/>
      </w:pPr>
      <w:bookmarkStart w:id="41" w:name="where-have-we-come-from-the-first-global-soc-models"/>
      <w:bookmarkEnd w:id="41"/>
      <w:r>
        <w:t xml:space="preserve">Where have we come from? The first global SOC models</w:t>
      </w:r>
    </w:p>
    <w:p>
      <w:pPr>
        <w:pStyle w:val="FirstParagraph"/>
      </w:pPr>
      <w:r>
        <w:t xml:space="preserve">Figure 5 shows one of the first applications of the relationships between soil carbon stocks and broader climate factors, including precipitation, evapotranspiration, and ecotones or biomes (i.e., the Holdridge world life zones). These relationships, however, fail to predict the uncertain effects of climate and land use change.</w:t>
      </w:r>
    </w:p>
    <w:p>
      <w:pPr>
        <w:pStyle w:val="FigureWithCaption"/>
      </w:pPr>
      <w:r>
        <w:drawing>
          <wp:inline>
            <wp:extent cx="5334000" cy="3308430"/>
            <wp:effectExtent b="0" l="0" r="0" t="0"/>
            <wp:docPr descr="Figure 5: Contours of soil carbon content overlaid on the Holdridge world life zones, displaying the old view of how carbon stocks were distributed globally (Post et al.1982)." title="" id="1" name="Picture"/>
            <a:graphic>
              <a:graphicData uri="http://schemas.openxmlformats.org/drawingml/2006/picture">
                <pic:pic>
                  <pic:nvPicPr>
                    <pic:cNvPr descr="images_blog_1\Figure5.png" id="0" name="Picture"/>
                    <pic:cNvPicPr>
                      <a:picLocks noChangeArrowheads="1" noChangeAspect="1"/>
                    </pic:cNvPicPr>
                  </pic:nvPicPr>
                  <pic:blipFill>
                    <a:blip r:embed="rId42"/>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content overlaid on the Holdridge world life zones, displaying the old view of how carbon stocks were distributed globally (Post et al.1982).</w:t>
      </w:r>
    </w:p>
    <w:p>
      <w:pPr>
        <w:pStyle w:val="BodyText"/>
      </w:pPr>
      <w:r>
        <w:t xml:space="preserve">From Figure 5 we have traveled a long way. SOC stocks were initial understood by evapotranspiration rates and precipitation zones, that delineated SOC stocks by biome. It is now understood that SOC has a more complex relationship, dependent on mechanistic relationships between SOC and soil type as well as biomes. Figure 6 shows how the total global estimates in carbon content have evolved overtime. Some estimates have been over the current level (#28) and others have been underestimated. As climate change continues unabated and along with the heavy uncertainty around the relationship of terrestrial carbon and the atmosphere, we need to evolve the ESM models to encompass this change. The modeling community needs to come together to address the uncertainties that arise with the rapid evolution of climate change by basing more off mechanistic science of the relationships driving these changes.</w:t>
      </w:r>
    </w:p>
    <w:p>
      <w:pPr>
        <w:pStyle w:val="FigureWithCaption"/>
      </w:pPr>
      <w:r>
        <w:drawing>
          <wp:inline>
            <wp:extent cx="5334000" cy="2830576"/>
            <wp:effectExtent b="0" l="0" r="0" t="0"/>
            <wp:docPr descr="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 title="" id="1" name="Picture"/>
            <a:graphic>
              <a:graphicData uri="http://schemas.openxmlformats.org/drawingml/2006/picture">
                <pic:pic>
                  <pic:nvPicPr>
                    <pic:cNvPr descr="images_blog_1\Figure6.png" id="0" name="Picture"/>
                    <pic:cNvPicPr>
                      <a:picLocks noChangeArrowheads="1" noChangeAspect="1"/>
                    </pic:cNvPicPr>
                  </pic:nvPicPr>
                  <pic:blipFill>
                    <a:blip r:embed="rId43"/>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w:t>
      </w:r>
    </w:p>
    <w:p>
      <w:pPr>
        <w:pStyle w:val="BodyText"/>
      </w:pPr>
      <w:r>
        <w:rPr>
          <w:b/>
        </w:rPr>
        <w:t xml:space="preserve">Further Resources</w:t>
      </w:r>
    </w:p>
    <w:p>
      <w:pPr>
        <w:pStyle w:val="BodyText"/>
      </w:pPr>
      <w:r>
        <w:t xml:space="preserve">Post et al., (1982)</w:t>
      </w:r>
      <w:r>
        <w:t xml:space="preserve"> </w:t>
      </w:r>
      <w:hyperlink r:id="rId44">
        <w:r>
          <w:rPr>
            <w:rStyle w:val="Hyperlink"/>
          </w:rPr>
          <w:t xml:space="preserve">doi</w:t>
        </w:r>
      </w:hyperlink>
      <w:r>
        <w:br w:type="textWrapping"/>
      </w:r>
      <w:r>
        <w:t xml:space="preserve">Scharlemann et al., (2014)</w:t>
      </w:r>
      <w:r>
        <w:t xml:space="preserve"> </w:t>
      </w:r>
      <w:hyperlink r:id="rId45">
        <w:r>
          <w:rPr>
            <w:rStyle w:val="Hyperlink"/>
          </w:rPr>
          <w:t xml:space="preserve">doi</w:t>
        </w:r>
      </w:hyperlink>
    </w:p>
    <w:p>
      <w:pPr>
        <w:pStyle w:val="Heading1"/>
      </w:pPr>
      <w:bookmarkStart w:id="46" w:name="where-are-we-going-the-future-of-esms-for-soc-stocks-through-mechanistic-modeling"/>
      <w:bookmarkEnd w:id="46"/>
      <w:r>
        <w:t xml:space="preserve">Where are we going? The future of ESMs for SOC stocks through mechanistic modeling</w:t>
      </w:r>
    </w:p>
    <w:p>
      <w:pPr>
        <w:pStyle w:val="FirstParagraph"/>
      </w:pPr>
      <w:r>
        <w:t xml:space="preserve">There are several different types of models that have been developed in ESM. Most often the type of model developed depends on the accessibility to the data you have. Empirical models based off statistical relationships from real dataset may not reflect changing conditions brought by climate change. Mechanistic models, on the other hand, are based on how we think a system works. You still need data and arguably more of it but the focus of the model is in the mechanisms that are driving the destabilization of SOC stocks. The benefit is that these models, in theory, should be better able to predict change Steefel et al. (2005)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This means linking all processes of carbon sequestration, organic matter decomposition, and carbon transport across spatial and temporal timescales into a continuum, rather than a separate, linear model.</w:t>
      </w:r>
    </w:p>
    <w:p>
      <w:pPr>
        <w:pStyle w:val="FigureWithCaption"/>
      </w:pPr>
      <w:r>
        <w:drawing>
          <wp:inline>
            <wp:extent cx="5334000" cy="3135491"/>
            <wp:effectExtent b="0" l="0" r="0" t="0"/>
            <wp:docPr descr="Figure 7: Examples of governing equations that could be used for a mechanistic modeling of a system (Steefel et al., 2005)" title="" id="1" name="Picture"/>
            <a:graphic>
              <a:graphicData uri="http://schemas.openxmlformats.org/drawingml/2006/picture">
                <pic:pic>
                  <pic:nvPicPr>
                    <pic:cNvPr descr="images_blog_1\Figure7.png" id="0" name="Picture"/>
                    <pic:cNvPicPr>
                      <a:picLocks noChangeArrowheads="1" noChangeAspect="1"/>
                    </pic:cNvPicPr>
                  </pic:nvPicPr>
                  <pic:blipFill>
                    <a:blip r:embed="rId47"/>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Examples of governing equations that could be used for a mechanistic modeling of a system (Steefel et al., 2005)</w:t>
      </w:r>
    </w:p>
    <w:p>
      <w:pPr>
        <w:pStyle w:val="BodyText"/>
      </w:pPr>
      <w:r>
        <w:t xml:space="preserve">For all these approaches there are many challenges to scaling. When a model scales from a soil pore to global scales there are many associated uncertainties. The on the ground data used to validate the model may not represent the true values within the system and the data could upscale or downscale the model predictions. Also, there may there is not enough data for the model and extrapolating it to cover an ecosystem or entire planet is not representative of the randomness within the system. 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 Moving forward we need to bring together theory, measurement and modeling in order to predict accurate relationships and create sustainable management decisions.</w:t>
      </w:r>
    </w:p>
    <w:p>
      <w:pPr>
        <w:pStyle w:val="BodyText"/>
      </w:pPr>
      <w:r>
        <w:rPr>
          <w:b/>
        </w:rPr>
        <w:t xml:space="preserve">Further Resources</w:t>
      </w:r>
    </w:p>
    <w:p>
      <w:pPr>
        <w:pStyle w:val="BodyText"/>
      </w:pPr>
      <w:r>
        <w:t xml:space="preserve">Steefel et al., (2005)</w:t>
      </w:r>
      <w:r>
        <w:t xml:space="preserve"> </w:t>
      </w:r>
      <w:hyperlink r:id="rId44">
        <w:r>
          <w:rPr>
            <w:rStyle w:val="Hyperlink"/>
          </w:rPr>
          <w:t xml:space="preserve">doi</w:t>
        </w:r>
      </w:hyperlink>
      <w:r>
        <w:br w:type="textWrapping"/>
      </w:r>
      <w:r>
        <w:t xml:space="preserve">Bradford et al., (2016)</w:t>
      </w:r>
      <w:r>
        <w:t xml:space="preserve"> </w:t>
      </w:r>
      <w:hyperlink r:id="rId44">
        <w:r>
          <w:rPr>
            <w:rStyle w:val="Hyperlink"/>
          </w:rPr>
          <w:t xml:space="preserve">doi</w:t>
        </w:r>
      </w:hyperlink>
      <w:r>
        <w:br w:type="textWrapping"/>
      </w:r>
      <w:r>
        <w:t xml:space="preserve">Lehmann and Kleber (2015)</w:t>
      </w:r>
      <w:r>
        <w:t xml:space="preserve"> </w:t>
      </w:r>
      <w:hyperlink r:id="rId48">
        <w:r>
          <w:rPr>
            <w:rStyle w:val="Hyperlink"/>
          </w:rPr>
          <w:t xml:space="preserve">doi</w:t>
        </w:r>
      </w:hyperlink>
      <w:r>
        <w:br w:type="textWrapping"/>
      </w:r>
      <w:r>
        <w:t xml:space="preserve">Schmidt et al. (2011)</w:t>
      </w:r>
      <w:r>
        <w:t xml:space="preserve"> </w:t>
      </w:r>
      <w:hyperlink r:id="rId49">
        <w:r>
          <w:rPr>
            <w:rStyle w:val="Hyperlink"/>
          </w:rPr>
          <w:t xml:space="preserve">doi</w:t>
        </w:r>
      </w:hyperlink>
    </w:p>
    <w:p>
      <w:pPr>
        <w:pStyle w:val="Heading1"/>
      </w:pPr>
      <w:bookmarkStart w:id="50" w:name="building-global-scale-observations-and-experimental-datasets"/>
      <w:bookmarkEnd w:id="50"/>
      <w:r>
        <w:t xml:space="preserve">Building global scale observations and experimental datasets</w:t>
      </w:r>
    </w:p>
    <w:p>
      <w:pPr>
        <w:pStyle w:val="FirstParagraph"/>
      </w:pPr>
      <w:r>
        <w:t xml:space="preserve">With a push towards more mechanistic representations of SOC cycling in ESMs, there is an urgent need to compile enhance global datasets for model development and validation. The International Soil Carbon Network (ICSN) is a</w:t>
      </w:r>
      <w:r>
        <w:t xml:space="preserve"> </w:t>
      </w:r>
      <w:r>
        <w:t xml:space="preserve">“</w:t>
      </w:r>
      <w:r>
        <w:t xml:space="preserve">large-scale synthesis of soil carbon science</w:t>
      </w:r>
      <w:r>
        <w:t xml:space="preserve">”</w:t>
      </w:r>
      <w:r>
        <w:t xml:space="preserve"> </w:t>
      </w:r>
      <w:r>
        <w:t xml:space="preserve">ISCN.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and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images_blog_1\Figure8.png" id="0" name="Picture"/>
                    <pic:cNvPicPr>
                      <a:picLocks noChangeArrowheads="1" noChangeAspect="1"/>
                    </pic:cNvPicPr>
                  </pic:nvPicPr>
                  <pic:blipFill>
                    <a:blip r:embed="rId51"/>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b668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Carbon Modeling</dc:title>
  <dc:creator>Casey McGrath</dc:creator>
  <dcterms:created xsi:type="dcterms:W3CDTF">2018-06-26T22:15:55Z</dcterms:created>
  <dcterms:modified xsi:type="dcterms:W3CDTF">2018-06-26T22:15:55Z</dcterms:modified>
</cp:coreProperties>
</file>