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Fractionation</w:t>
      </w:r>
    </w:p>
    <w:p>
      <w:pPr>
        <w:pStyle w:val="Author"/>
      </w:pPr>
      <w:r>
        <w:t xml:space="preserve">Kristy</w:t>
      </w:r>
      <w:r>
        <w:t xml:space="preserve"> </w:t>
      </w:r>
      <w:r>
        <w:t xml:space="preserve">Lam</w:t>
      </w:r>
    </w:p>
    <w:p>
      <w:pPr>
        <w:pStyle w:val="Heading1"/>
      </w:pPr>
      <w:bookmarkStart w:id="21" w:name="thermal-fractionation"/>
      <w:bookmarkEnd w:id="21"/>
      <w:r>
        <w:t xml:space="preserve">Thermal Fractionation</w:t>
      </w:r>
    </w:p>
    <w:p>
      <w:pPr>
        <w:pStyle w:val="FirstParagraph"/>
      </w:pPr>
      <w:r>
        <w:t xml:space="preserve">Thermal fractionation utilizes heat to characterize soil organic matter (SOM), then identify what types of soil organic carbon (SOC) are present in a given soil sample. However, these methods take proxy measurements and, therefore, require to be coupled with another fractionation method (i.e. chemical, physical, biological).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r>
        <w:pict>
          <v:rect style="width:0;height:1.5pt" o:hralign="center" o:hrstd="t" o:hr="t"/>
        </w:pict>
      </w:r>
    </w:p>
    <w:p>
      <w:pPr>
        <w:pStyle w:val="BlockText"/>
      </w:pPr>
      <w:r>
        <w:t xml:space="preserve">“</w:t>
      </w:r>
      <w:r>
        <w:t xml:space="preserve">…thermal analysis is a highly integrative method that requires little sample preparation and allows the analysis of bulk soil samples without pretreatment, even with low C content. Using thermal analysis techniques to investigate SOM stability is highly attractive.</w:t>
      </w:r>
      <w:r>
        <w:t xml:space="preserve">”</w:t>
      </w:r>
      <w:r>
        <w:br w:type="textWrapping"/>
      </w:r>
      <w:r>
        <w:t xml:space="preserve">Peltre et al., (2013) DOI:</w:t>
      </w:r>
      <w:r>
        <w:t xml:space="preserve"> </w:t>
      </w:r>
      <w:hyperlink r:id="rId22">
        <w:r>
          <w:rPr>
            <w:rStyle w:val="Hyperlink"/>
          </w:rPr>
          <w:t xml:space="preserve">10.2136/sssaj2013.02.0081</w:t>
        </w:r>
      </w:hyperlink>
    </w:p>
    <w:p>
      <w:r>
        <w:pict>
          <v:rect style="width:0;height:1.5pt" o:hralign="center" o:hrstd="t" o:hr="t"/>
        </w:pict>
      </w:r>
    </w:p>
    <w:p>
      <w:pPr>
        <w:pStyle w:val="BlockText"/>
      </w:pPr>
      <w:r>
        <w:t xml:space="preserve">“</w:t>
      </w:r>
      <w:r>
        <w:t xml:space="preserve">Analysis of the results revealed the suitability of thermal methods to provide simple, quick and reliable information on organic matter stabilisation during the composting process of agroindustrial residua.</w:t>
      </w:r>
      <w:r>
        <w:t xml:space="preserve">”</w:t>
      </w:r>
      <w:r>
        <w:br w:type="textWrapping"/>
      </w:r>
      <w:r>
        <w:t xml:space="preserve">Dell’Abate et al., (2000) DOI:</w:t>
      </w:r>
      <w:r>
        <w:t xml:space="preserve"> </w:t>
      </w:r>
      <w:hyperlink r:id="rId23">
        <w:r>
          <w:rPr>
            <w:rStyle w:val="Hyperlink"/>
          </w:rPr>
          <w:t xml:space="preserve">10.1023/A:1010157115211</w:t>
        </w:r>
      </w:hyperlink>
    </w:p>
    <w:p>
      <w:r>
        <w:pict>
          <v:rect style="width:0;height:1.5pt" o:hralign="center" o:hrstd="t" o:hr="t"/>
        </w:pict>
      </w:r>
    </w:p>
    <w:p>
      <w:pPr>
        <w:pStyle w:val="Heading1"/>
      </w:pPr>
      <w:bookmarkStart w:id="24" w:name="thermal-fractionation-methods"/>
      <w:bookmarkEnd w:id="24"/>
      <w:r>
        <w:t xml:space="preserve">Thermal Fractionation Methods</w:t>
      </w:r>
    </w:p>
    <w:p>
      <w:pPr>
        <w:pStyle w:val="Heading2"/>
      </w:pPr>
      <w:bookmarkStart w:id="25" w:name="a.-thermogravimetry-tg-differential-scanning-calorimetry-dsc"/>
      <w:bookmarkEnd w:id="25"/>
      <w:r>
        <w:t xml:space="preserve">A. Thermogravimetry (TG) &amp; Differential Scanning Calorimetry (DSC)</w:t>
      </w:r>
    </w:p>
    <w:p>
      <w:pPr>
        <w:pStyle w:val="FirstParagraph"/>
      </w:pPr>
      <w:r>
        <w:t xml:space="preserve">This method involves two parts: thermogravimetry (TG) and differential scanning calorimetry (DSC). The former involves increasingly heating a sample in an inert or oxidative gas atmosphere that result in weight loss or gain. The changes in sample weight can be attributed to alterations in chemical or physical properties, thus TG is important in investigating thermal stability of SOM. The latter will plot a figure according to heat flow (i.e. exotherm vs endotherm reaction). DSC analyses do not require large samples, numerous controls, or extensive method development. In addition, this technique can be applied to whole soil sampling without requirement of pretreatments (i.e. chemical extraction) or isolated fractions.Check out this</w:t>
      </w:r>
      <w:r>
        <w:t xml:space="preserve"> </w:t>
      </w:r>
      <w:hyperlink r:id="rId26">
        <w:r>
          <w:rPr>
            <w:rStyle w:val="Hyperlink"/>
          </w:rPr>
          <w:t xml:space="preserve">video from Setaram</w:t>
        </w:r>
      </w:hyperlink>
      <w:r>
        <w:t xml:space="preserve">.</w:t>
      </w:r>
    </w:p>
    <w:p>
      <w:pPr>
        <w:pStyle w:val="BodyText"/>
      </w:pPr>
      <w:r>
        <w:t xml:space="preserve">Sources:</w:t>
      </w:r>
      <w:r>
        <w:br w:type="textWrapping"/>
      </w:r>
      <w:r>
        <w:t xml:space="preserve">EAG Laboratory (</w:t>
      </w:r>
      <w:hyperlink r:id="rId27">
        <w:r>
          <w:rPr>
            <w:rStyle w:val="Hyperlink"/>
          </w:rPr>
          <w:t xml:space="preserve">https://www.eag.com/</w:t>
        </w:r>
      </w:hyperlink>
      <w:r>
        <w:t xml:space="preserve">)</w:t>
      </w:r>
    </w:p>
    <w:p>
      <w:pPr>
        <w:pStyle w:val="Heading2"/>
      </w:pPr>
      <w:bookmarkStart w:id="28" w:name="b.-pyrolysis-gas-chromatography-mass-spectrometry-py-gc-ms"/>
      <w:bookmarkEnd w:id="28"/>
      <w:r>
        <w:t xml:space="preserve">B.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29">
        <w:r>
          <w:rPr>
            <w:rStyle w:val="Hyperlink"/>
          </w:rPr>
          <w:t xml:space="preserve">here</w:t>
        </w:r>
      </w:hyperlink>
      <w:r>
        <w:t xml:space="preserve"> </w:t>
      </w:r>
      <w:r>
        <w:t xml:space="preserve">for a more comprehensive list)</w:t>
      </w:r>
    </w:p>
    <w:p>
      <w:pPr>
        <w:pStyle w:val="BodyText"/>
      </w:pPr>
      <w:r>
        <w:t xml:space="preserve">Sources:</w:t>
      </w:r>
      <w:r>
        <w:br w:type="textWrapping"/>
      </w:r>
      <w:r>
        <w:t xml:space="preserve">Jimenez-Gonzales et al. (2017) DOI:</w:t>
      </w:r>
      <w:r>
        <w:t xml:space="preserve"> </w:t>
      </w:r>
      <w:hyperlink r:id="rId30">
        <w:r>
          <w:rPr>
            <w:rStyle w:val="Hyperlink"/>
          </w:rPr>
          <w:t xml:space="preserve">10.1016/j.chroma.2017.05.068</w:t>
        </w:r>
      </w:hyperlink>
      <w:r>
        <w:br w:type="textWrapping"/>
      </w:r>
      <w:r>
        <w:t xml:space="preserve">Lara-Gonzalo et al., (2015) DOI:</w:t>
      </w:r>
      <w:r>
        <w:t xml:space="preserve"> </w:t>
      </w:r>
      <w:hyperlink r:id="rId31">
        <w:r>
          <w:rPr>
            <w:rStyle w:val="Hyperlink"/>
          </w:rPr>
          <w:t xml:space="preserve">10.1016/j.orggeochem.2015.06.012</w:t>
        </w:r>
      </w:hyperlink>
      <w:r>
        <w:br w:type="textWrapping"/>
      </w:r>
      <w:r>
        <w:t xml:space="preserve">EAG Laboratory (</w:t>
      </w:r>
      <w:hyperlink r:id="rId27">
        <w:r>
          <w:rPr>
            <w:rStyle w:val="Hyperlink"/>
          </w:rPr>
          <w:t xml:space="preserve">https://www.eag.com/</w:t>
        </w:r>
      </w:hyperlink>
      <w:r>
        <w:t xml:space="preserve">)</w:t>
      </w:r>
    </w:p>
    <w:p>
      <w:pPr>
        <w:pStyle w:val="FigureWithCaption"/>
      </w:pPr>
      <w:r>
        <w:drawing>
          <wp:inline>
            <wp:extent cx="5334000" cy="3014869"/>
            <wp:effectExtent b="0" l="0" r="0" t="0"/>
            <wp:docPr descr="From Frontier Lab" title="" id="1" name="Picture"/>
            <a:graphic>
              <a:graphicData uri="http://schemas.openxmlformats.org/drawingml/2006/picture">
                <pic:pic>
                  <pic:nvPicPr>
                    <pic:cNvPr descr="PyGCMS_Frontier.jpg" id="0" name="Picture"/>
                    <pic:cNvPicPr>
                      <a:picLocks noChangeArrowheads="1" noChangeAspect="1"/>
                    </pic:cNvPicPr>
                  </pic:nvPicPr>
                  <pic:blipFill>
                    <a:blip r:embed="rId32"/>
                    <a:stretch>
                      <a:fillRect/>
                    </a:stretch>
                  </pic:blipFill>
                  <pic:spPr bwMode="auto">
                    <a:xfrm>
                      <a:off x="0" y="0"/>
                      <a:ext cx="5334000" cy="3014869"/>
                    </a:xfrm>
                    <a:prstGeom prst="rect">
                      <a:avLst/>
                    </a:prstGeom>
                    <a:noFill/>
                    <a:ln w="9525">
                      <a:noFill/>
                      <a:headEnd/>
                      <a:tailEnd/>
                    </a:ln>
                  </pic:spPr>
                </pic:pic>
              </a:graphicData>
            </a:graphic>
          </wp:inline>
        </w:drawing>
      </w:r>
    </w:p>
    <w:p>
      <w:pPr>
        <w:pStyle w:val="ImageCaption"/>
      </w:pPr>
      <w:r>
        <w:t xml:space="preserve">From</w:t>
      </w:r>
      <w:r>
        <w:t xml:space="preserve"> </w:t>
      </w:r>
      <w:hyperlink r:id="rId33">
        <w:r>
          <w:rPr>
            <w:rStyle w:val="Hyperlink"/>
          </w:rPr>
          <w:t xml:space="preserve">Frontier Lab</w:t>
        </w:r>
      </w:hyperlink>
    </w:p>
    <w:p>
      <w:pPr>
        <w:pStyle w:val="FigureWithCaption"/>
      </w:pPr>
      <w:r>
        <w:drawing>
          <wp:inline>
            <wp:extent cx="5334000" cy="3981841"/>
            <wp:effectExtent b="0" l="0" r="0" t="0"/>
            <wp:docPr descr="From Jimenez-Gonzales et al. (2007) DOI: 10.1016/j.chroma.2017.05.068" title="" id="1" name="Picture"/>
            <a:graphic>
              <a:graphicData uri="http://schemas.openxmlformats.org/drawingml/2006/picture">
                <pic:pic>
                  <pic:nvPicPr>
                    <pic:cNvPr descr="Py-GMCS-Jimenez-Gonzales_2017.png" id="0" name="Picture"/>
                    <pic:cNvPicPr>
                      <a:picLocks noChangeArrowheads="1" noChangeAspect="1"/>
                    </pic:cNvPicPr>
                  </pic:nvPicPr>
                  <pic:blipFill>
                    <a:blip r:embed="rId34"/>
                    <a:stretch>
                      <a:fillRect/>
                    </a:stretch>
                  </pic:blipFill>
                  <pic:spPr bwMode="auto">
                    <a:xfrm>
                      <a:off x="0" y="0"/>
                      <a:ext cx="5334000" cy="3981841"/>
                    </a:xfrm>
                    <a:prstGeom prst="rect">
                      <a:avLst/>
                    </a:prstGeom>
                    <a:noFill/>
                    <a:ln w="9525">
                      <a:noFill/>
                      <a:headEnd/>
                      <a:tailEnd/>
                    </a:ln>
                  </pic:spPr>
                </pic:pic>
              </a:graphicData>
            </a:graphic>
          </wp:inline>
        </w:drawing>
      </w:r>
    </w:p>
    <w:p>
      <w:pPr>
        <w:pStyle w:val="ImageCaption"/>
      </w:pPr>
      <w:r>
        <w:t xml:space="preserve">From Jimenez-Gonzales et al. (2007) DOI:</w:t>
      </w:r>
      <w:r>
        <w:t xml:space="preserve"> </w:t>
      </w:r>
      <w:hyperlink r:id="rId30">
        <w:r>
          <w:rPr>
            <w:rStyle w:val="Hyperlink"/>
          </w:rPr>
          <w:t xml:space="preserve">10.1016/j.chroma.2017.05.068</w:t>
        </w:r>
      </w:hyperlink>
    </w:p>
    <w:p>
      <w:pPr>
        <w:pStyle w:val="Heading1"/>
      </w:pPr>
      <w:bookmarkStart w:id="35" w:name="applications"/>
      <w:bookmarkEnd w:id="35"/>
      <w:r>
        <w:t xml:space="preserve">Applications</w:t>
      </w:r>
    </w:p>
    <w:p>
      <w:pPr>
        <w:pStyle w:val="FirstParagraph"/>
      </w:pPr>
      <w:r>
        <w:rPr>
          <w:b/>
        </w:rPr>
        <w:t xml:space="preserve">SOM stability</w:t>
      </w:r>
    </w:p>
    <w:p>
      <w:pPr>
        <w:pStyle w:val="BodyText"/>
      </w:pPr>
      <w:r>
        <w:t xml:space="preserve">In 2013, Peltre et al. further assessed the relationships between thermal and biological indices of SOM stability using a wide range of soils with varying C concentrations collected from across the United States. Soils were analyzed using TG-DSC coupled with CO2–EGA. These measurements were compared with SOM biological stability measured during long-term laboratory incubations. Results showed that different relationships exist between the thermal and biological stabilities of SOM (i.e. differences in C concentrations), which can be attributed to different mechanisms of SOM stabilization. Thus, mineral association of SOM and abundance of intact plant debris are vital in low-C soils and high-C soils, respectively.</w:t>
      </w:r>
      <w:r>
        <w:t xml:space="preserve"> </w:t>
      </w:r>
      <w:r>
        <w:t xml:space="preserve">DOI:</w:t>
      </w:r>
      <w:r>
        <w:t xml:space="preserve"> </w:t>
      </w:r>
      <w:hyperlink r:id="rId22">
        <w:r>
          <w:rPr>
            <w:rStyle w:val="Hyperlink"/>
          </w:rPr>
          <w:t xml:space="preserve">10.2136/sssaj2013.02.0081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4e39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2" Target="media/rId32.jpg" /><Relationship Type="http://schemas.openxmlformats.org/officeDocument/2006/relationships/hyperlink" Id="rId26" Target="http://us.setaram.com/en/setaram-products/couplings-gas-analysis-2/tga-sta-ms/sensys-evo-tg-dsc-ega/1/" TargetMode="External" /><Relationship Type="http://schemas.openxmlformats.org/officeDocument/2006/relationships/hyperlink" Id="rId33" Target="http://www.frontier-lab.com/english/multi-functional-pyrolysis-system/" TargetMode="External" /><Relationship Type="http://schemas.openxmlformats.org/officeDocument/2006/relationships/hyperlink" Id="rId23" Target="https://link.springer.com/article/10.1023/A%3A1010157115211" TargetMode="External" /><Relationship Type="http://schemas.openxmlformats.org/officeDocument/2006/relationships/hyperlink" Id="rId27" Target="https://www.eag.com/" TargetMode="External" /><Relationship Type="http://schemas.openxmlformats.org/officeDocument/2006/relationships/hyperlink" Id="rId29" Target="https://www.eag.com/pyrolysis-gc-ms/" TargetMode="External" /><Relationship Type="http://schemas.openxmlformats.org/officeDocument/2006/relationships/hyperlink" Id="rId30" Target="https://www.sciencedirect.com/science/article/pii/S0021967317308282" TargetMode="External" /><Relationship Type="http://schemas.openxmlformats.org/officeDocument/2006/relationships/hyperlink" Id="rId31" Target="https://www.sciencedirect.com/science/article/pii/S0146638015001321" TargetMode="External" /><Relationship Type="http://schemas.openxmlformats.org/officeDocument/2006/relationships/hyperlink" Id="rId22" Target="https://www.soils.org/publications/sssaj/abstracts/77/6/2020" TargetMode="External" /></Relationships>
</file>

<file path=word/_rels/footnotes.xml.rels><?xml version="1.0" encoding="UTF-8"?>
<Relationships xmlns="http://schemas.openxmlformats.org/package/2006/relationships"><Relationship Type="http://schemas.openxmlformats.org/officeDocument/2006/relationships/hyperlink" Id="rId26" Target="http://us.setaram.com/en/setaram-products/couplings-gas-analysis-2/tga-sta-ms/sensys-evo-tg-dsc-ega/1/" TargetMode="External" /><Relationship Type="http://schemas.openxmlformats.org/officeDocument/2006/relationships/hyperlink" Id="rId33" Target="http://www.frontier-lab.com/english/multi-functional-pyrolysis-system/" TargetMode="External" /><Relationship Type="http://schemas.openxmlformats.org/officeDocument/2006/relationships/hyperlink" Id="rId23" Target="https://link.springer.com/article/10.1023/A%3A1010157115211" TargetMode="External" /><Relationship Type="http://schemas.openxmlformats.org/officeDocument/2006/relationships/hyperlink" Id="rId27" Target="https://www.eag.com/" TargetMode="External" /><Relationship Type="http://schemas.openxmlformats.org/officeDocument/2006/relationships/hyperlink" Id="rId29" Target="https://www.eag.com/pyrolysis-gc-ms/" TargetMode="External" /><Relationship Type="http://schemas.openxmlformats.org/officeDocument/2006/relationships/hyperlink" Id="rId30" Target="https://www.sciencedirect.com/science/article/pii/S0021967317308282" TargetMode="External" /><Relationship Type="http://schemas.openxmlformats.org/officeDocument/2006/relationships/hyperlink" Id="rId31" Target="https://www.sciencedirect.com/science/article/pii/S0146638015001321" TargetMode="External" /><Relationship Type="http://schemas.openxmlformats.org/officeDocument/2006/relationships/hyperlink" Id="rId22" Target="https://www.soils.org/publications/sssaj/abstracts/77/6/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Fractionation</dc:title>
  <dc:creator>Kristy Lam</dc:creator>
  <dcterms:created xsi:type="dcterms:W3CDTF">2018-02-24T09:20:27Z</dcterms:created>
  <dcterms:modified xsi:type="dcterms:W3CDTF">2018-02-24T09:20:27Z</dcterms:modified>
</cp:coreProperties>
</file>