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2026第五届方舟计划机器人大赛参赛手册</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修改日志</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410"/>
        <w:gridCol w:w="1410"/>
        <w:gridCol w:w="4065"/>
      </w:tblGrid>
      <w:tr>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日期</w:t>
            </w:r>
          </w:p>
        </w:tc>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操作人员</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修改记录</w:t>
            </w:r>
          </w:p>
        </w:tc>
      </w:tr>
      <w:tr>
        <w:tc>
          <w:tcPr>
            <w:tcW w:w="1410" w:type="dxa"/>
            <w:vMerge w:val="continue"/>
            <w:tcMar>
              <w:top w:type="dxa" w:w="60"/>
              <w:left w:type="dxa" w:w="120"/>
              <w:bottom w:type="dxa" w:w="30"/>
              <w:right w:type="dxa" w:w="120"/>
            </w:tcMar>
          </w:tcPr>
          <w:p>
            <w:pPr>
              <w:spacing w:before="120" w:after="120" w:line="288" w:lineRule="auto"/>
              <w:ind w:left="0"/>
              <w:jc w:val="center"/>
            </w:pPr>
          </w:p>
        </w:tc>
        <w:tc>
          <w:tcPr>
            <w:tcW w:w="1410" w:type="dxa"/>
            <w:vMerge w:val="continue"/>
            <w:tcMar>
              <w:top w:type="dxa" w:w="60"/>
              <w:left w:type="dxa" w:w="120"/>
              <w:bottom w:type="dxa" w:w="30"/>
              <w:right w:type="dxa" w:w="120"/>
            </w:tcMar>
          </w:tcPr>
          <w:p>
            <w:pPr>
              <w:spacing w:before="120" w:after="120" w:line="288" w:lineRule="auto"/>
              <w:ind w:left="0"/>
              <w:jc w:val="center"/>
            </w:pPr>
          </w:p>
        </w:tc>
        <w:tc>
          <w:tcPr>
            <w:tcW w:w="1410" w:type="dxa"/>
            <w:vMerge w:val="continue"/>
            <w:tcMar>
              <w:top w:type="dxa" w:w="60"/>
              <w:left w:type="dxa" w:w="120"/>
              <w:bottom w:type="dxa" w:w="30"/>
              <w:right w:type="dxa" w:w="120"/>
            </w:tcMar>
          </w:tcPr>
          <w:p>
            <w:pPr>
              <w:spacing w:before="120" w:after="120" w:line="288" w:lineRule="auto"/>
              <w:ind w:left="0"/>
              <w:jc w:val="center"/>
            </w:pP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修改项目</w:t>
            </w:r>
          </w:p>
        </w:tc>
      </w:tr>
      <w:tr>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2026.07.20</w:t>
            </w:r>
          </w:p>
        </w:tc>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V1.0</w:t>
            </w:r>
          </w:p>
        </w:tc>
        <w:tc>
          <w:tcPr>
            <w:tcW w:w="14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程嘉泓</w:t>
            </w:r>
          </w:p>
          <w:p>
            <w:pPr>
              <w:spacing w:before="120" w:after="120" w:line="288" w:lineRule="auto"/>
              <w:ind w:left="0"/>
              <w:jc w:val="left"/>
            </w:pPr>
            <w:r>
              <w:rPr>
                <w:rFonts w:eastAsia="等线" w:ascii="Arial" w:cs="Arial" w:hAnsi="Arial"/>
                <w:sz w:val="22"/>
              </w:rPr>
              <w:t xml:space="preserve">    郑灿佳</w:t>
            </w:r>
          </w:p>
          <w:p>
            <w:pPr>
              <w:spacing w:before="120" w:after="120" w:line="288" w:lineRule="auto"/>
              <w:ind w:left="0"/>
              <w:jc w:val="left"/>
            </w:pPr>
            <w:r>
              <w:rPr>
                <w:rFonts w:eastAsia="等线" w:ascii="Arial" w:cs="Arial" w:hAnsi="Arial"/>
                <w:sz w:val="22"/>
              </w:rPr>
              <w:t xml:space="preserve">    肖家军</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hyperlink r:id="rId4">
              <w:r>
                <w:rPr>
                  <w:rFonts w:eastAsia="等线" w:ascii="Arial" w:cs="Arial" w:hAnsi="Arial"/>
                  <w:color w:val="3370ff"/>
                  <w:sz w:val="22"/>
                </w:rPr>
                <w:t>补全“夺宝”的定义</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5">
              <w:r>
                <w:rPr>
                  <w:rFonts w:eastAsia="等线" w:ascii="Arial" w:cs="Arial" w:hAnsi="Arial"/>
                  <w:color w:val="3370ff"/>
                  <w:sz w:val="22"/>
                </w:rPr>
                <w:t>去除球框上的二维码</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6">
              <w:r>
                <w:rPr>
                  <w:rFonts w:eastAsia="等线" w:ascii="Arial" w:cs="Arial" w:hAnsi="Arial"/>
                  <w:color w:val="3370ff"/>
                  <w:sz w:val="22"/>
                </w:rPr>
                <w:t>修改启动区二维码信息</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7">
              <w:r>
                <w:rPr>
                  <w:rFonts w:eastAsia="等线" w:ascii="Arial" w:cs="Arial" w:hAnsi="Arial"/>
                  <w:color w:val="3370ff"/>
                  <w:sz w:val="22"/>
                </w:rPr>
                <w:t>修改二维码识别快慢得分条件</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8">
              <w:r>
                <w:rPr>
                  <w:rFonts w:eastAsia="等线" w:ascii="Arial" w:cs="Arial" w:hAnsi="Arial"/>
                  <w:color w:val="3370ff"/>
                  <w:sz w:val="22"/>
                </w:rPr>
                <w:t>新增放入球时的描述</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9">
              <w:r>
                <w:rPr>
                  <w:rFonts w:eastAsia="等线" w:ascii="Arial" w:cs="Arial" w:hAnsi="Arial"/>
                  <w:color w:val="3370ff"/>
                  <w:sz w:val="22"/>
                </w:rPr>
                <w:t>添加自动化得分细则</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10">
              <w:r>
                <w:rPr>
                  <w:rFonts w:eastAsia="等线" w:ascii="Arial" w:cs="Arial" w:hAnsi="Arial"/>
                  <w:color w:val="3370ff"/>
                  <w:sz w:val="22"/>
                </w:rPr>
                <w:t>修改大胜表述方式</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11">
              <w:r>
                <w:rPr>
                  <w:rFonts w:eastAsia="等线" w:ascii="Arial" w:cs="Arial" w:hAnsi="Arial"/>
                  <w:color w:val="3370ff"/>
                  <w:sz w:val="22"/>
                </w:rPr>
                <w:t>修改关于错误球入框的判罚</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12">
              <w:r>
                <w:rPr>
                  <w:rFonts w:eastAsia="等线" w:ascii="Arial" w:cs="Arial" w:hAnsi="Arial"/>
                  <w:color w:val="3370ff"/>
                  <w:sz w:val="22"/>
                </w:rPr>
                <w:t>修改比赛时间</w:t>
              </w:r>
            </w:hyperlink>
          </w:p>
        </w:tc>
      </w:tr>
      <w:tr>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2026.07.21</w:t>
            </w:r>
          </w:p>
        </w:tc>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V1.1</w:t>
            </w:r>
          </w:p>
        </w:tc>
        <w:tc>
          <w:tcPr>
            <w:tcW w:w="14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程嘉泓</w:t>
            </w:r>
          </w:p>
        </w:tc>
        <w:tc>
          <w:tcPr>
            <w:tcW w:w="4065" w:type="dxa"/>
            <w:tcMar>
              <w:top w:type="dxa" w:w="60"/>
              <w:left w:type="dxa" w:w="120"/>
              <w:bottom w:type="dxa" w:w="30"/>
              <w:right w:type="dxa" w:w="120"/>
            </w:tcMar>
          </w:tcPr>
          <w:p>
            <w:pPr>
              <w:spacing w:before="120" w:after="120" w:line="288" w:lineRule="auto"/>
              <w:ind w:left="0"/>
              <w:jc w:val="center"/>
            </w:pPr>
            <w:hyperlink r:id="rId13">
              <w:r>
                <w:rPr>
                  <w:rFonts w:eastAsia="等线" w:ascii="Arial" w:cs="Arial" w:hAnsi="Arial"/>
                  <w:color w:val="3370ff"/>
                  <w:sz w:val="22"/>
                </w:rPr>
                <w:t>删除己方基础球投入对方专属框的罚时</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14">
              <w:r>
                <w:rPr>
                  <w:rFonts w:eastAsia="等线" w:ascii="Arial" w:cs="Arial" w:hAnsi="Arial"/>
                  <w:color w:val="3370ff"/>
                  <w:sz w:val="22"/>
                </w:rPr>
                <w:t>新增球落出场外的处理细则</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15">
              <w:r>
                <w:rPr>
                  <w:rFonts w:eastAsia="等线" w:ascii="Arial" w:cs="Arial" w:hAnsi="Arial"/>
                  <w:color w:val="3370ff"/>
                  <w:sz w:val="22"/>
                </w:rPr>
                <w:t>减少警告的次数</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16">
              <w:r>
                <w:rPr>
                  <w:rFonts w:eastAsia="等线" w:ascii="Arial" w:cs="Arial" w:hAnsi="Arial"/>
                  <w:color w:val="3370ff"/>
                  <w:sz w:val="22"/>
                </w:rPr>
                <w:t>新增将球从球框中取出的处罚</w:t>
              </w:r>
            </w:hyperlink>
          </w:p>
        </w:tc>
      </w:tr>
      <w:tr>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1410" w:type="dxa"/>
            <w:vMerge w:val="continue"/>
            <w:tcMar>
              <w:top w:type="dxa" w:w="60"/>
              <w:left w:type="dxa" w:w="120"/>
              <w:bottom w:type="dxa" w:w="30"/>
              <w:right w:type="dxa" w:w="120"/>
            </w:tcMar>
          </w:tcPr>
          <w:p>
            <w:pPr>
              <w:spacing w:before="120" w:after="120" w:line="288" w:lineRule="auto"/>
              <w:ind w:left="0"/>
              <w:jc w:val="left"/>
            </w:pPr>
          </w:p>
        </w:tc>
        <w:tc>
          <w:tcPr>
            <w:tcW w:w="4065" w:type="dxa"/>
            <w:tcMar>
              <w:top w:type="dxa" w:w="60"/>
              <w:left w:type="dxa" w:w="120"/>
              <w:bottom w:type="dxa" w:w="30"/>
              <w:right w:type="dxa" w:w="120"/>
            </w:tcMar>
          </w:tcPr>
          <w:p>
            <w:pPr>
              <w:spacing w:before="120" w:after="120" w:line="288" w:lineRule="auto"/>
              <w:ind w:left="0"/>
              <w:jc w:val="center"/>
            </w:pPr>
            <w:hyperlink r:id="rId17">
              <w:r>
                <w:rPr>
                  <w:rFonts w:eastAsia="等线" w:ascii="Arial" w:cs="Arial" w:hAnsi="Arial"/>
                  <w:color w:val="3370ff"/>
                  <w:sz w:val="22"/>
                </w:rPr>
                <w:t>延长参赛队报到时间</w:t>
              </w:r>
            </w:hyperlink>
          </w:p>
        </w:tc>
      </w:tr>
    </w:tbl>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关于比赛</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赛事背景</w:t>
      </w:r>
      <w:bookmarkEnd w:id="2"/>
    </w:p>
    <w:p>
      <w:pPr>
        <w:spacing w:before="120" w:after="120" w:line="288" w:lineRule="auto"/>
        <w:ind w:left="0"/>
        <w:jc w:val="left"/>
      </w:pPr>
      <w:r>
        <w:rPr>
          <w:rFonts w:eastAsia="等线" w:ascii="Arial" w:cs="Arial" w:hAnsi="Arial"/>
          <w:sz w:val="22"/>
        </w:rPr>
        <w:t>东莞市大学生竞技机器人大赛是由广东省机械工程学会机器人与智能制造分会、东莞市自动化学会指导，由东莞理工学院工程师学院主办，以工程师专业历经五年的机器人入门项目设计“方舟计划”为原型承办的大型机器人比赛。</w:t>
      </w:r>
    </w:p>
    <w:p>
      <w:pPr>
        <w:spacing w:before="120" w:after="120" w:line="288" w:lineRule="auto"/>
        <w:ind w:left="0"/>
        <w:jc w:val="left"/>
      </w:pPr>
      <w:r>
        <w:rPr>
          <w:rFonts w:eastAsia="等线" w:ascii="Arial" w:cs="Arial" w:hAnsi="Arial"/>
          <w:sz w:val="22"/>
        </w:rPr>
        <w:t xml:space="preserve">赛事面向全体莞工在读学生（主要面向大一大二学生，每一队中仅允许有1名大二的同学）。 </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2.2 </w:t>
      </w:r>
      <w:r>
        <w:rPr>
          <w:rFonts w:eastAsia="等线" w:ascii="Arial" w:cs="Arial" w:hAnsi="Arial"/>
          <w:b w:val="true"/>
          <w:sz w:val="32"/>
        </w:rPr>
        <w:t>主题背景</w:t>
      </w:r>
      <w:bookmarkEnd w:id="3"/>
    </w:p>
    <w:p>
      <w:pPr>
        <w:spacing w:before="120" w:after="120" w:line="288" w:lineRule="auto"/>
        <w:ind w:left="0"/>
        <w:jc w:val="left"/>
      </w:pPr>
      <w:r>
        <w:rPr>
          <w:rFonts w:eastAsia="等线" w:ascii="Arial" w:cs="Arial" w:hAnsi="Arial"/>
          <w:sz w:val="22"/>
        </w:rPr>
        <w:t>这次赛题结合Robocon与RoboMaster全国机器人大赛,把取放、坡度障碍、自动路线规划结合进来,旨在为后续大二参加这些比赛做一定的准备。Robocon是“亚太大学生机器人大赛”的简称，由亚洲太平洋地区广播电视联盟（ABU）在2002年发起，每年推出一个新的主题，由主办国根据本国的历史文化特点制定比赛的内容和规则。全国大学生机器人大赛ROBOCON赛事是国内选拔赛.其比赛难度高、技术综合性强，参赛队需要在十个月内完成机器人的设计、制作、调试、迭代、训练，直至通往赛场，是一个完整的机器人开发流程。对机械设计、编程和自动控制等方面都有较高的要求。每年都是全新的开始，从方案的制定到后期的修改优化，需要技术积累和团队协作。比赛更注重创意和技术的结合，表现的多样性和创新性受到重视。而RoboMaster机甲大师赛是由全国学联、深圳市人民政府联合主办，大疆创新发起并承办的机器人赛事。作为全球性的射击对抗类的机器人比赛，诞生于2013年。比赛采用红、蓝双方对抗的形式，参赛队伍通过自行设计制造多种机器人进行射击对抗，完成指定任务。参赛机器人包括可以发射“弹丸”的手动机器人以及能够完成一定任务的自动机器人。比赛形式丰富多样，有地面机器人对抗、空中机器人侦察等。RoboMaster的舞台比较炫，采用类似游戏中的抵抗模式，对门外汉来说也容易看懂。比赛强调团队合作和竞赛精神，注重机器人在复杂战场中的协同作战能力。</w:t>
      </w:r>
    </w:p>
    <w:p>
      <w:pPr>
        <w:spacing w:before="120" w:after="120" w:line="288" w:lineRule="auto"/>
        <w:ind w:left="0"/>
        <w:jc w:val="left"/>
      </w:pPr>
      <w:r>
        <w:rPr>
          <w:rFonts w:eastAsia="等线" w:ascii="Arial" w:cs="Arial" w:hAnsi="Arial"/>
          <w:sz w:val="22"/>
        </w:rPr>
        <w:t>在中国传统文化中，马象征着奋进、果敢与智慧，而 “探骊得珠” 原指潜入深渊探寻骊龙颔下的宝珠，比喻历经探索终获真知与关键成果。这个题目寓意着参赛队伍的机器人如同骏马勇闯险途、精准探骊一般，在挑战中攻坚克难、探寻核心目标，最终斩获佳绩。</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2.3 </w:t>
      </w:r>
      <w:r>
        <w:rPr>
          <w:rFonts w:eastAsia="等线" w:ascii="Arial" w:cs="Arial" w:hAnsi="Arial"/>
          <w:b w:val="true"/>
          <w:sz w:val="32"/>
        </w:rPr>
        <w:t>比赛概要</w:t>
      </w:r>
      <w:bookmarkEnd w:id="4"/>
    </w:p>
    <w:p>
      <w:pPr>
        <w:spacing w:before="120" w:after="120" w:line="288" w:lineRule="auto"/>
        <w:ind w:left="0"/>
        <w:jc w:val="left"/>
      </w:pPr>
      <w:r>
        <w:rPr>
          <w:rFonts w:eastAsia="等线" w:ascii="Arial" w:cs="Arial" w:hAnsi="Arial"/>
          <w:sz w:val="22"/>
        </w:rPr>
        <w:t>比赛分为红蓝双方，机器人从启动区出发，场中有红蓝两种颜色的球，首先需要完成对二维码的扫描得到颜色信息并显示，随后可以进行目标球的抓取，抓取后,将球投入框中.</w:t>
      </w:r>
    </w:p>
    <w:p>
      <w:pPr>
        <w:spacing w:before="120" w:after="120" w:line="288" w:lineRule="auto"/>
        <w:ind w:left="0"/>
        <w:jc w:val="left"/>
      </w:pPr>
      <w:r>
        <w:rPr>
          <w:rFonts w:eastAsia="等线" w:ascii="Arial" w:cs="Arial" w:hAnsi="Arial"/>
          <w:sz w:val="22"/>
        </w:rPr>
        <w:t>当某队率先按规则实现两次成功将球放入核心筐中为本方就比赛终止，其他大胜情况请看判定细则。我们期待着青年工程师制作的机器人在赛场的精彩表现！</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3. </w:t>
      </w:r>
      <w:r>
        <w:rPr>
          <w:rFonts w:eastAsia="等线" w:ascii="Arial" w:cs="Arial" w:hAnsi="Arial"/>
          <w:b w:val="true"/>
          <w:sz w:val="36"/>
        </w:rPr>
        <w:t>比赛规则</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3.1 </w:t>
      </w:r>
      <w:r>
        <w:rPr>
          <w:rFonts w:eastAsia="等线" w:ascii="Arial" w:cs="Arial" w:hAnsi="Arial"/>
          <w:b w:val="true"/>
          <w:sz w:val="32"/>
        </w:rPr>
        <w:t>机器人制作规范</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限制</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运行方式</w:t>
            </w:r>
          </w:p>
        </w:tc>
        <w:tc>
          <w:tcPr>
            <w:tcW w:w="276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遥控或自动运行</w:t>
            </w: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最大供电总容量(Wh)</w:t>
            </w:r>
          </w:p>
        </w:tc>
        <w:tc>
          <w:tcPr>
            <w:tcW w:w="2760"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z w:val="22"/>
              </w:rPr>
              <w:t>300</w:t>
            </w:r>
          </w:p>
        </w:tc>
        <w:tc>
          <w:tcPr>
            <w:tcW w:w="2760"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使用正规厂家生产的电池</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最大供电电压(V)</w:t>
            </w:r>
          </w:p>
        </w:tc>
        <w:tc>
          <w:tcPr>
            <w:tcW w:w="276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24</w:t>
            </w:r>
          </w:p>
        </w:tc>
        <w:tc>
          <w:tcPr>
            <w:tcW w:w="2760"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使用正规厂家生产的电池</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最大重量(kg)</w:t>
            </w:r>
          </w:p>
        </w:tc>
        <w:tc>
          <w:tcPr>
            <w:tcW w:w="2760"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z w:val="22"/>
              </w:rPr>
              <w:t>25</w:t>
            </w:r>
          </w:p>
        </w:tc>
        <w:tc>
          <w:tcPr>
            <w:tcW w:w="276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包含电池，遥控器重量</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初始尺寸(mm,W*L*H)</w:t>
            </w:r>
          </w:p>
        </w:tc>
        <w:tc>
          <w:tcPr>
            <w:tcW w:w="276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z w:val="22"/>
              </w:rPr>
              <w:t>1000*1000*1000</w:t>
            </w:r>
          </w:p>
        </w:tc>
        <w:tc>
          <w:tcPr>
            <w:tcW w:w="276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存在一种状态，机器人位于地面的 正投影不超出1000*1000的方形区域 且机器人最高点距离地面不超过1000</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气源</w:t>
            </w:r>
          </w:p>
        </w:tc>
        <w:tc>
          <w:tcPr>
            <w:tcW w:w="2760"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气瓶中存储的压缩气体气压不大于0.6Mpa，工作气体需满足不可燃烧、无毒、无污染的条件，如空气、氮气、二氧化</w:t>
            </w:r>
          </w:p>
        </w:tc>
        <w:tc>
          <w:tcPr>
            <w:tcW w:w="276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队伍需要自备打气筒和机械气压表</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能源</w:t>
            </w:r>
          </w:p>
        </w:tc>
        <w:tc>
          <w:tcPr>
            <w:tcW w:w="2760"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禁止使用燃油驱动的发动机、爆炸物、危险化学材料</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禁止使用液压或其他有可能产生污染的动力方式</w:t>
            </w: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无线通信</w:t>
            </w:r>
          </w:p>
        </w:tc>
        <w:tc>
          <w:tcPr>
            <w:tcW w:w="2760" w:type="dxa"/>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sz w:val="22"/>
              </w:rPr>
              <w:t>参赛队伍可以使用任意方式与机器人进行无线通信，包括但不限于蓝牙、WiFi、图传等无线收发设备，不限制数量。</w:t>
            </w:r>
          </w:p>
        </w:tc>
        <w:tc>
          <w:tcPr>
            <w:tcW w:w="276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7" w:id="7"/>
      <w:r>
        <w:rPr>
          <w:rFonts w:eastAsia="等线" w:ascii="Arial" w:cs="Arial" w:hAnsi="Arial"/>
          <w:color w:val="3370ff"/>
          <w:sz w:val="32"/>
        </w:rPr>
        <w:t xml:space="preserve">3.2 </w:t>
      </w:r>
      <w:r>
        <w:rPr>
          <w:rFonts w:eastAsia="等线" w:ascii="Arial" w:cs="Arial" w:hAnsi="Arial"/>
          <w:b w:val="true"/>
          <w:sz w:val="32"/>
        </w:rPr>
        <w:t>规则术语与定义</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050"/>
        <w:gridCol w:w="6165"/>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术语</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定义</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参赛队</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两支在比赛场地上的队伍。按照其所在区域的颜色分别被称为红队和蓝队。</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启动区</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启动区是比赛开始时放置机器人的地方，每支队伍各有一个1000mmX1000mm的矩形区域。</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矩阵二维码</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由2*2共4个10*10cm，中间间隔3cm的二维码拼成，其中只有一个具有 2 个有用信息，位置随机更新</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宝库</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放置有皮球同种颜色5个，直径一致为150mm、质量不同的皮球，其中核心球重量比基础球增加50%，基础球重约155g</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夺宝 </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红蓝双方各有自己的‘得分球’，当将球并带出宝库区，该球得分。</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放入</w:t>
            </w:r>
          </w:p>
          <w:p>
            <w:pPr>
              <w:spacing w:before="120" w:after="120" w:line="288" w:lineRule="auto"/>
              <w:ind w:left="0"/>
              <w:jc w:val="center"/>
            </w:pPr>
            <w:r>
              <w:rPr>
                <w:rFonts w:eastAsia="等线" w:ascii="Arial" w:cs="Arial" w:hAnsi="Arial"/>
                <w:sz w:val="22"/>
              </w:rPr>
              <w:t xml:space="preserve"> </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机器人将球放入圆框内。</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大胜</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专属筐大胜：需投入3 颗基础球方可判定大胜；</w:t>
            </w:r>
          </w:p>
          <w:p>
            <w:pPr>
              <w:spacing w:before="120" w:after="120" w:line="288" w:lineRule="auto"/>
              <w:ind w:left="0"/>
              <w:jc w:val="center"/>
            </w:pPr>
            <w:r>
              <w:rPr>
                <w:rFonts w:eastAsia="等线" w:ascii="Arial" w:cs="Arial" w:hAnsi="Arial"/>
                <w:sz w:val="22"/>
              </w:rPr>
              <w:t>核心争夺筐大胜：需投入2 颗核心球， 第二颗球入框时，对方机器人需在核心筐 1.5m 范围内；</w:t>
            </w:r>
          </w:p>
          <w:p>
            <w:pPr>
              <w:spacing w:before="120" w:after="120" w:line="288" w:lineRule="auto"/>
              <w:ind w:left="0"/>
              <w:jc w:val="center"/>
            </w:pPr>
            <w:r>
              <w:rPr>
                <w:rFonts w:eastAsia="等线" w:ascii="Arial" w:cs="Arial" w:hAnsi="Arial"/>
                <w:sz w:val="22"/>
              </w:rPr>
              <w:t>核心争夺筐大胜优先级高于专属筐：若一方先完成大胜，立即终止比赛。</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重试</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在裁判示意下，机器人由参赛队伍检修人员搬回启动区重新启动</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球框</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直径30cm高度40cm的圆柱形球框</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坡道</w:t>
            </w:r>
          </w:p>
        </w:tc>
        <w:tc>
          <w:tcPr>
            <w:tcW w:w="61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图示蓝色区域为17°的坡道，通过坡道进入放置区平台</w:t>
            </w:r>
          </w:p>
        </w:tc>
      </w:tr>
    </w:tbl>
    <w:p>
      <w:pPr>
        <w:pStyle w:val="2"/>
        <w:spacing w:before="320" w:after="120" w:line="288" w:lineRule="auto"/>
        <w:ind w:left="0"/>
        <w:jc w:val="left"/>
        <w:outlineLvl w:val="1"/>
      </w:pPr>
      <w:bookmarkStart w:name="heading_8" w:id="8"/>
      <w:r>
        <w:rPr>
          <w:rFonts w:eastAsia="等线" w:ascii="Arial" w:cs="Arial" w:hAnsi="Arial"/>
          <w:color w:val="3370ff"/>
          <w:sz w:val="32"/>
        </w:rPr>
        <w:t xml:space="preserve">3.3 </w:t>
      </w:r>
      <w:r>
        <w:rPr>
          <w:rFonts w:eastAsia="等线" w:ascii="Arial" w:cs="Arial" w:hAnsi="Arial"/>
          <w:b w:val="true"/>
          <w:sz w:val="32"/>
        </w:rPr>
        <w:t>规则</w:t>
      </w:r>
      <w:bookmarkEnd w:id="8"/>
    </w:p>
    <w:p>
      <w:pPr>
        <w:spacing w:before="120" w:after="120" w:line="288" w:lineRule="auto"/>
        <w:ind w:left="0"/>
        <w:jc w:val="left"/>
      </w:pPr>
      <w:r>
        <w:rPr>
          <w:rFonts w:eastAsia="等线" w:ascii="Arial" w:cs="Arial" w:hAnsi="Arial"/>
          <w:b w:val="true"/>
          <w:sz w:val="22"/>
          <w:u w:val="single"/>
        </w:rPr>
        <w:t>比赛时间为5分钟。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比赛开始前</w:t>
      </w:r>
    </w:p>
    <w:p>
      <w:pPr>
        <w:numPr>
          <w:numId w:val="15"/>
        </w:numPr>
        <w:spacing w:before="120" w:after="120" w:line="288" w:lineRule="auto"/>
        <w:ind w:left="0"/>
        <w:jc w:val="left"/>
      </w:pPr>
      <w:r>
        <w:rPr>
          <w:rFonts w:eastAsia="等线" w:ascii="Arial" w:cs="Arial" w:hAnsi="Arial"/>
          <w:sz w:val="22"/>
        </w:rPr>
        <w:t>设置时间开始前，每支参赛队伍将机器人放入本队起始区；</w:t>
      </w:r>
    </w:p>
    <w:p>
      <w:pPr>
        <w:numPr>
          <w:numId w:val="16"/>
        </w:numPr>
        <w:spacing w:before="120" w:after="120" w:line="288" w:lineRule="auto"/>
        <w:ind w:left="0"/>
        <w:jc w:val="left"/>
      </w:pPr>
      <w:r>
        <w:rPr>
          <w:rFonts w:eastAsia="等线" w:ascii="Arial" w:cs="Arial" w:hAnsi="Arial"/>
          <w:sz w:val="22"/>
        </w:rPr>
        <w:t>比赛开始前，设1分钟调试时间，此阶段最多允许3名队员上场调试机器人；</w:t>
      </w:r>
    </w:p>
    <w:p>
      <w:pPr>
        <w:numPr>
          <w:numId w:val="17"/>
        </w:numPr>
        <w:spacing w:before="120" w:after="120" w:line="288" w:lineRule="auto"/>
        <w:ind w:left="0"/>
        <w:jc w:val="left"/>
      </w:pPr>
      <w:r>
        <w:rPr>
          <w:rFonts w:eastAsia="等线" w:ascii="Arial" w:cs="Arial" w:hAnsi="Arial"/>
          <w:sz w:val="22"/>
        </w:rPr>
        <w:t>如果参赛队伍在1分钟内没有完成设置，比赛开始后，可以继续进行设置（完成后即可启动机器人）；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比赛期间</w:t>
      </w:r>
    </w:p>
    <w:p>
      <w:pPr>
        <w:numPr>
          <w:numId w:val="18"/>
        </w:numPr>
        <w:spacing w:before="120" w:after="120" w:line="288" w:lineRule="auto"/>
        <w:ind w:left="0"/>
        <w:jc w:val="left"/>
      </w:pPr>
      <w:r>
        <w:rPr>
          <w:rFonts w:eastAsia="等线" w:ascii="Arial" w:cs="Arial" w:hAnsi="Arial"/>
          <w:sz w:val="22"/>
        </w:rPr>
        <w:t>设置时间结束，裁判响哨比赛开始；</w:t>
      </w:r>
    </w:p>
    <w:p>
      <w:pPr>
        <w:numPr>
          <w:numId w:val="19"/>
        </w:numPr>
        <w:spacing w:before="120" w:after="120" w:line="288" w:lineRule="auto"/>
        <w:ind w:left="0"/>
        <w:jc w:val="left"/>
      </w:pPr>
      <w:r>
        <w:rPr>
          <w:rFonts w:eastAsia="等线" w:ascii="Arial" w:cs="Arial" w:hAnsi="Arial"/>
          <w:sz w:val="22"/>
        </w:rPr>
        <w:t>除重启等特殊情况外参赛人员不得与其机器人接触，场边最多允许3名人员（1遥控+2检修）；</w:t>
      </w:r>
    </w:p>
    <w:p>
      <w:pPr>
        <w:numPr>
          <w:numId w:val="20"/>
        </w:numPr>
        <w:spacing w:before="120" w:after="120" w:line="288" w:lineRule="auto"/>
        <w:ind w:left="0"/>
        <w:jc w:val="left"/>
      </w:pPr>
      <w:r>
        <w:rPr>
          <w:rFonts w:eastAsia="等线" w:ascii="Arial" w:cs="Arial" w:hAnsi="Arial"/>
          <w:sz w:val="22"/>
        </w:rPr>
        <w:t>机器人需具有启动开关，比赛开始时方可打开启动开关，同时机器人也应在明显位置安装大急停开关；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比赛任务:</w:t>
      </w:r>
    </w:p>
    <w:p>
      <w:pPr>
        <w:numPr>
          <w:numId w:val="21"/>
        </w:numPr>
        <w:spacing w:before="120" w:after="120" w:line="288" w:lineRule="auto"/>
        <w:ind w:left="0"/>
        <w:jc w:val="left"/>
      </w:pPr>
      <w:r>
        <w:rPr>
          <w:rFonts w:eastAsia="等线" w:ascii="Arial" w:cs="Arial" w:hAnsi="Arial"/>
          <w:sz w:val="22"/>
        </w:rPr>
        <w:t>扫描启动区前方的矩阵二维码，机器人视觉识别2*2矩阵二维码并提取信息发送到上位机</w:t>
      </w:r>
      <w:r>
        <w:rPr>
          <w:rFonts w:eastAsia="等线" w:ascii="Arial" w:cs="Arial" w:hAnsi="Arial"/>
          <w:color w:val="d83931"/>
          <w:sz w:val="22"/>
        </w:rPr>
        <w:t>（不允许直接使用扫码器）</w:t>
      </w:r>
      <w:r>
        <w:rPr>
          <w:rFonts w:eastAsia="等线" w:ascii="Arial" w:cs="Arial" w:hAnsi="Arial"/>
          <w:sz w:val="22"/>
        </w:rPr>
        <w:t>，通过机器人搭载的屏幕显示信息（颜色1、颜色2），信息需要在下位机上显示出来。</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每队二维码包含 2 个球框编码（如甲队：红黄；乙队：蓝黄），其中共用编码（如黄）为 “核心争夺筐”，专属编码（如红、蓝）为 “基础得分筐”，该球筐编码为机器人所需要放入的球框编码；</w:t>
            </w:r>
          </w:p>
          <w:p>
            <w:pPr>
              <w:numPr>
                <w:numId w:val="23"/>
              </w:numPr>
              <w:spacing w:before="120" w:after="120" w:line="288" w:lineRule="auto"/>
              <w:ind w:left="0"/>
              <w:jc w:val="left"/>
            </w:pPr>
            <w:r>
              <w:rPr>
                <w:rFonts w:eastAsia="等线" w:ascii="Arial" w:cs="Arial" w:hAnsi="Arial"/>
                <w:sz w:val="22"/>
              </w:rPr>
              <w:t>二维码还包含了当局球框对应的颜色顺序，表述方式为 3 个颜色信息，对应机器人面向球框时，从左到右框的颜色顺序。（如甲队：红黄蓝；乙队：蓝黄红）</w:t>
            </w:r>
          </w:p>
          <w:p>
            <w:pPr>
              <w:numPr>
                <w:numId w:val="24"/>
              </w:numPr>
              <w:spacing w:before="120" w:after="120" w:line="288" w:lineRule="auto"/>
              <w:ind w:left="0"/>
              <w:jc w:val="left"/>
            </w:pPr>
            <w:r>
              <w:rPr>
                <w:rFonts w:eastAsia="等线" w:ascii="Arial" w:cs="Arial" w:hAnsi="Arial"/>
                <w:sz w:val="22"/>
              </w:rPr>
              <w:t>需要显示的信息为 2 个机器人所需要放入的球框编码，顺序为“基础球筐编码 + 核心争夺筐编码”如（甲队红黄；乙队蓝黄），裁判需核验两项信息完整显示后，方可进入下一环节，禁止仅识别部分信息的投机行为。</w:t>
            </w:r>
          </w:p>
          <w:p>
            <w:pPr>
              <w:numPr>
                <w:numId w:val="25"/>
              </w:numPr>
              <w:spacing w:before="120" w:after="120" w:line="288" w:lineRule="auto"/>
              <w:ind w:left="0"/>
              <w:jc w:val="left"/>
            </w:pPr>
            <w:r>
              <w:rPr>
                <w:rFonts w:eastAsia="等线" w:ascii="Arial" w:cs="Arial" w:hAnsi="Arial"/>
                <w:sz w:val="22"/>
              </w:rPr>
              <w:t>机器人搭载的屏幕只可以接在单片机上，尺寸大小、安装位置要便于裁判观察;</w:t>
            </w:r>
          </w:p>
          <w:p>
            <w:pPr>
              <w:numPr>
                <w:numId w:val="26"/>
              </w:numPr>
              <w:spacing w:before="120" w:after="120" w:line="288" w:lineRule="auto"/>
              <w:ind w:left="0"/>
              <w:jc w:val="left"/>
            </w:pPr>
            <w:r>
              <w:rPr>
                <w:rFonts w:eastAsia="等线" w:ascii="Arial" w:cs="Arial" w:hAnsi="Arial"/>
                <w:sz w:val="22"/>
              </w:rPr>
              <w:t>完成扫描并且显示后即可进行下一个环节；</w:t>
            </w:r>
          </w:p>
        </w:tc>
      </w:tr>
    </w:tbl>
    <w:p>
      <w:pPr>
        <w:numPr>
          <w:numId w:val="27"/>
        </w:numPr>
        <w:spacing w:before="120" w:after="120" w:line="288" w:lineRule="auto"/>
        <w:ind w:left="0"/>
        <w:jc w:val="left"/>
      </w:pPr>
      <w:r>
        <w:rPr>
          <w:rFonts w:eastAsia="等线" w:ascii="Arial" w:cs="Arial" w:hAnsi="Arial"/>
          <w:sz w:val="22"/>
        </w:rPr>
        <w:t>机器人夺宝，并带离宝库实现得分；</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sz w:val="22"/>
              </w:rPr>
              <w:t>宝库内放置 5 个球，其中 3 个基础球（对应专属筐）+ 2 个核心球（对应核心争夺筐），核心球重量比基础球   增加50%；</w:t>
            </w:r>
          </w:p>
          <w:p>
            <w:pPr>
              <w:numPr>
                <w:numId w:val="29"/>
              </w:numPr>
              <w:spacing w:before="120" w:after="120" w:line="288" w:lineRule="auto"/>
              <w:ind w:left="0"/>
              <w:jc w:val="left"/>
            </w:pPr>
            <w:r>
              <w:rPr>
                <w:rFonts w:eastAsia="等线" w:ascii="Arial" w:cs="Arial" w:hAnsi="Arial"/>
                <w:sz w:val="22"/>
              </w:rPr>
              <w:t xml:space="preserve">抓取机构需为自主设计（禁止使用成品夹爪直接组装），且核心球抓取后需保持 5 秒不掉落（基础球仍为 3 秒），且一次只能拿一个球； </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得分标准：</w:t>
      </w:r>
    </w:p>
    <w:p>
      <w:pPr>
        <w:numPr>
          <w:numId w:val="30"/>
        </w:numPr>
        <w:spacing w:before="120" w:after="120" w:line="288" w:lineRule="auto"/>
        <w:ind w:left="0"/>
        <w:jc w:val="left"/>
      </w:pPr>
      <w:r>
        <w:rPr>
          <w:rFonts w:eastAsia="等线" w:ascii="Arial" w:cs="Arial" w:hAnsi="Arial"/>
          <w:sz w:val="22"/>
        </w:rPr>
        <w:t>完成二维码识别并正确显示得10分，需要在车上设置识别颜色的判断并及时示意场边裁判，否则不得分；更快识别全部信息的再加10分；若边裁近乎同时示意识别成功，将由主裁根据计时器进行判断，若确定为同时完成，则双方队伍都判定为更快识别全部信息的队伍，各加10分。</w:t>
      </w:r>
    </w:p>
    <w:p>
      <w:pPr>
        <w:numPr>
          <w:numId w:val="31"/>
        </w:numPr>
        <w:spacing w:before="120" w:after="120" w:line="288" w:lineRule="auto"/>
        <w:ind w:left="0"/>
        <w:jc w:val="left"/>
      </w:pPr>
      <w:r>
        <w:rPr>
          <w:rFonts w:eastAsia="等线" w:ascii="Arial" w:cs="Arial" w:hAnsi="Arial"/>
          <w:sz w:val="22"/>
        </w:rPr>
        <w:t>一次成功夺宝得10分，投入对方球筐则为对方加10分；</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参赛队需要根据 “</w:t>
            </w:r>
            <w:r>
              <w:rPr>
                <w:rFonts w:eastAsia="等线" w:ascii="Arial" w:cs="Arial" w:hAnsi="Arial"/>
                <w:b w:val="true"/>
                <w:sz w:val="22"/>
              </w:rPr>
              <w:t>比赛任务</w:t>
            </w:r>
            <w:r>
              <w:rPr>
                <w:rFonts w:eastAsia="等线" w:ascii="Arial" w:cs="Arial" w:hAnsi="Arial"/>
                <w:sz w:val="22"/>
              </w:rPr>
              <w:t>-步骤1” 中扫描矩阵二维码的结果将得分球投入相对应的球框。</w:t>
            </w:r>
          </w:p>
        </w:tc>
      </w:tr>
    </w:tbl>
    <w:p>
      <w:pPr>
        <w:numPr>
          <w:numId w:val="32"/>
        </w:numPr>
        <w:spacing w:before="120" w:after="120" w:line="288" w:lineRule="auto"/>
        <w:ind w:left="0"/>
        <w:jc w:val="left"/>
      </w:pPr>
      <w:r>
        <w:rPr>
          <w:rFonts w:eastAsia="等线" w:ascii="Arial" w:cs="Arial" w:hAnsi="Arial"/>
          <w:sz w:val="22"/>
        </w:rPr>
        <w:t>实现三次夺宝可再加奖励分15分；</w:t>
      </w:r>
    </w:p>
    <w:p>
      <w:pPr>
        <w:numPr>
          <w:numId w:val="33"/>
        </w:numPr>
        <w:spacing w:before="120" w:after="120" w:line="288" w:lineRule="auto"/>
        <w:ind w:left="0"/>
        <w:jc w:val="left"/>
      </w:pPr>
      <w:r>
        <w:rPr>
          <w:rFonts w:eastAsia="等线" w:ascii="Arial" w:cs="Arial" w:hAnsi="Arial"/>
          <w:sz w:val="22"/>
        </w:rPr>
        <w:t>球成功入框加30分，核心框分数×1.5；</w:t>
      </w:r>
    </w:p>
    <w:p>
      <w:pPr>
        <w:numPr>
          <w:numId w:val="34"/>
        </w:numPr>
        <w:spacing w:before="120" w:after="120" w:line="288" w:lineRule="auto"/>
        <w:ind w:left="0"/>
        <w:jc w:val="left"/>
      </w:pPr>
      <w:r>
        <w:rPr>
          <w:rFonts w:eastAsia="等线" w:ascii="Arial" w:cs="Arial" w:hAnsi="Arial"/>
          <w:sz w:val="22"/>
        </w:rPr>
        <w:t>使用自动化方案的队伍完成任务后任务分x3；</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若机器人使用自动化方案，需于</w:t>
            </w:r>
            <w:r>
              <w:rPr>
                <w:rFonts w:eastAsia="等线" w:ascii="Arial" w:cs="Arial" w:hAnsi="Arial"/>
                <w:sz w:val="22"/>
                <w:shd w:fill="f76964"/>
              </w:rPr>
              <w:t>检录时告知检录裁判；</w:t>
            </w:r>
          </w:p>
          <w:p>
            <w:pPr>
              <w:numPr>
                <w:numId w:val="36"/>
              </w:numPr>
              <w:spacing w:before="120" w:after="120" w:line="288" w:lineRule="auto"/>
              <w:ind w:left="0"/>
              <w:jc w:val="left"/>
            </w:pPr>
            <w:r>
              <w:rPr>
                <w:rFonts w:eastAsia="等线" w:ascii="Arial" w:cs="Arial" w:hAnsi="Arial"/>
                <w:sz w:val="22"/>
              </w:rPr>
              <w:t>自动化得分有两部分，分别为</w:t>
            </w:r>
            <w:r>
              <w:rPr>
                <w:rFonts w:eastAsia="等线" w:ascii="Arial" w:cs="Arial" w:hAnsi="Arial"/>
                <w:b w:val="true"/>
                <w:sz w:val="22"/>
              </w:rPr>
              <w:t>扫码识别信息</w:t>
            </w:r>
            <w:r>
              <w:rPr>
                <w:rFonts w:eastAsia="等线" w:ascii="Arial" w:cs="Arial" w:hAnsi="Arial"/>
                <w:sz w:val="22"/>
              </w:rPr>
              <w:t>与</w:t>
            </w:r>
            <w:r>
              <w:rPr>
                <w:rFonts w:eastAsia="等线" w:ascii="Arial" w:cs="Arial" w:hAnsi="Arial"/>
                <w:b w:val="true"/>
                <w:sz w:val="22"/>
              </w:rPr>
              <w:t>取球放球</w:t>
            </w:r>
            <w:r>
              <w:rPr>
                <w:rFonts w:eastAsia="等线" w:ascii="Arial" w:cs="Arial" w:hAnsi="Arial"/>
                <w:sz w:val="22"/>
              </w:rPr>
              <w:t>；</w:t>
            </w:r>
            <w:r>
              <w:rPr>
                <w:rFonts w:eastAsia="等线" w:ascii="Arial" w:cs="Arial" w:hAnsi="Arial"/>
                <w:b w:val="true"/>
                <w:sz w:val="22"/>
              </w:rPr>
              <w:t>扫码识别信息部分</w:t>
            </w:r>
            <w:r>
              <w:rPr>
                <w:rFonts w:eastAsia="等线" w:ascii="Arial" w:cs="Arial" w:hAnsi="Arial"/>
                <w:sz w:val="22"/>
              </w:rPr>
              <w:t>包括机器人从启动区行驶至扫码区并完成扫码任务整个流程，</w:t>
            </w:r>
            <w:r>
              <w:rPr>
                <w:rFonts w:eastAsia="等线" w:ascii="Arial" w:cs="Arial" w:hAnsi="Arial"/>
                <w:b w:val="true"/>
                <w:sz w:val="22"/>
              </w:rPr>
              <w:t>取球放球</w:t>
            </w:r>
            <w:r>
              <w:rPr>
                <w:rFonts w:eastAsia="等线" w:ascii="Arial" w:cs="Arial" w:hAnsi="Arial"/>
                <w:sz w:val="22"/>
              </w:rPr>
              <w:t>部分为机器人从扫码区行驶并完成夺宝，再行驶至完成放球的流程；</w:t>
            </w:r>
          </w:p>
          <w:p>
            <w:pPr>
              <w:numPr>
                <w:numId w:val="37"/>
              </w:numPr>
              <w:spacing w:before="120" w:after="120" w:line="288" w:lineRule="auto"/>
              <w:ind w:left="0"/>
              <w:jc w:val="left"/>
            </w:pPr>
            <w:r>
              <w:rPr>
                <w:rFonts w:eastAsia="等线" w:ascii="Arial" w:cs="Arial" w:hAnsi="Arial"/>
                <w:sz w:val="22"/>
              </w:rPr>
              <w:t>自动化操作时操作手需要示意边裁，并且双手不允许接触机器人遥控器。</w:t>
            </w:r>
          </w:p>
        </w:tc>
      </w:tr>
    </w:tbl>
    <w:p>
      <w:pPr>
        <w:numPr>
          <w:numId w:val="38"/>
        </w:numPr>
        <w:spacing w:before="120" w:after="120" w:line="288" w:lineRule="auto"/>
        <w:ind w:left="0"/>
        <w:jc w:val="left"/>
      </w:pPr>
      <w:r>
        <w:rPr>
          <w:rFonts w:eastAsia="等线" w:ascii="Arial" w:cs="Arial" w:hAnsi="Arial"/>
          <w:sz w:val="22"/>
        </w:rPr>
        <w:t>使用投掷方案将球投入球框的，入框分x2。</w:t>
      </w:r>
    </w:p>
    <w:p>
      <w:pPr>
        <w:numPr>
          <w:numId w:val="39"/>
        </w:numPr>
        <w:spacing w:before="120" w:after="120" w:line="288" w:lineRule="auto"/>
        <w:ind w:left="0"/>
        <w:jc w:val="left"/>
      </w:pPr>
      <w:r>
        <w:rPr>
          <w:rFonts w:eastAsia="等线" w:ascii="Arial" w:cs="Arial" w:hAnsi="Arial"/>
          <w:sz w:val="22"/>
        </w:rPr>
        <w:t>冲坡环节单独设奖励分：若机器人无故障连续完成 3 次冲坡（携带球），额外加 15 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确定胜利队</w:t>
      </w:r>
    </w:p>
    <w:p>
      <w:pPr>
        <w:numPr>
          <w:numId w:val="40"/>
        </w:numPr>
        <w:spacing w:before="120" w:after="120" w:line="288" w:lineRule="auto"/>
        <w:ind w:left="0"/>
        <w:jc w:val="left"/>
      </w:pPr>
      <w:r>
        <w:rPr>
          <w:rFonts w:eastAsia="等线" w:ascii="Arial" w:cs="Arial" w:hAnsi="Arial"/>
          <w:sz w:val="22"/>
        </w:rPr>
        <w:t>专属筐大胜：需投入 3 颗基础球方可判定大胜；</w:t>
      </w:r>
    </w:p>
    <w:p>
      <w:pPr>
        <w:numPr>
          <w:numId w:val="41"/>
        </w:numPr>
        <w:spacing w:before="120" w:after="120" w:line="288" w:lineRule="auto"/>
        <w:ind w:left="0"/>
        <w:jc w:val="left"/>
      </w:pPr>
      <w:r>
        <w:rPr>
          <w:rFonts w:eastAsia="等线" w:ascii="Arial" w:cs="Arial" w:hAnsi="Arial"/>
          <w:sz w:val="22"/>
        </w:rPr>
        <w:t>核心争夺筐大胜：仅需投入 2 颗核心球， 第二颗球入框时，对方机器人需在核心筐 1.5m 范围内；</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numPr>
                <w:numId w:val="42"/>
              </w:numPr>
              <w:spacing w:before="120" w:after="120" w:line="288" w:lineRule="auto"/>
              <w:ind w:left="0"/>
              <w:jc w:val="left"/>
            </w:pPr>
            <w:r>
              <w:rPr>
                <w:rFonts w:eastAsia="等线" w:ascii="Arial" w:cs="Arial" w:hAnsi="Arial"/>
                <w:sz w:val="22"/>
              </w:rPr>
              <w:t xml:space="preserve"> 核心争夺筐大胜优先级高于专属筐；若一方先完成大胜，</w:t>
            </w:r>
            <w:r>
              <w:rPr>
                <w:rFonts w:eastAsia="等线" w:ascii="Arial" w:cs="Arial" w:hAnsi="Arial"/>
                <w:sz w:val="22"/>
                <w:shd w:fill="f76964"/>
              </w:rPr>
              <w:t>立即终止比赛</w:t>
            </w:r>
            <w:r>
              <w:rPr>
                <w:rFonts w:eastAsia="等线" w:ascii="Arial" w:cs="Arial" w:hAnsi="Arial"/>
                <w:sz w:val="22"/>
              </w:rPr>
              <w:t>。</w:t>
            </w:r>
          </w:p>
        </w:tc>
      </w:tr>
    </w:tbl>
    <w:p>
      <w:pPr>
        <w:numPr>
          <w:numId w:val="43"/>
        </w:numPr>
        <w:spacing w:before="120" w:after="120" w:line="288" w:lineRule="auto"/>
        <w:ind w:left="0"/>
        <w:jc w:val="left"/>
      </w:pPr>
      <w:r>
        <w:rPr>
          <w:rFonts w:eastAsia="等线" w:ascii="Arial" w:cs="Arial" w:hAnsi="Arial"/>
          <w:sz w:val="22"/>
        </w:rPr>
        <w:t>两队都未满足大胜，按得分高者获胜；</w:t>
      </w:r>
    </w:p>
    <w:p>
      <w:pPr>
        <w:numPr>
          <w:numId w:val="44"/>
        </w:numPr>
        <w:spacing w:before="120" w:after="120" w:line="288" w:lineRule="auto"/>
        <w:ind w:left="0"/>
        <w:jc w:val="left"/>
      </w:pPr>
      <w:r>
        <w:rPr>
          <w:rFonts w:eastAsia="等线" w:ascii="Arial" w:cs="Arial" w:hAnsi="Arial"/>
          <w:sz w:val="22"/>
        </w:rPr>
        <w:t>得分持平时， 完成时间短的队伍获胜。</w:t>
      </w:r>
    </w:p>
    <w:p>
      <w:pPr>
        <w:numPr>
          <w:numId w:val="45"/>
        </w:numPr>
        <w:spacing w:before="120" w:after="120" w:line="288" w:lineRule="auto"/>
        <w:ind w:left="0"/>
        <w:jc w:val="left"/>
      </w:pPr>
      <w:r>
        <w:rPr>
          <w:rFonts w:eastAsia="等线" w:ascii="Arial" w:cs="Arial" w:hAnsi="Arial"/>
          <w:sz w:val="22"/>
        </w:rPr>
        <w:t>时间若持平，则根据车重判断，轻者获胜。</w:t>
      </w:r>
    </w:p>
    <w:p>
      <w:pPr>
        <w:numPr>
          <w:numId w:val="46"/>
        </w:numPr>
        <w:spacing w:before="120" w:after="120" w:line="288" w:lineRule="auto"/>
        <w:ind w:left="0"/>
        <w:jc w:val="left"/>
      </w:pPr>
      <w:r>
        <w:rPr>
          <w:rFonts w:eastAsia="等线" w:ascii="Arial" w:cs="Arial" w:hAnsi="Arial"/>
          <w:sz w:val="22"/>
        </w:rPr>
        <w:t>如果仍然持平，由裁判组确定获胜队伍或重赛。</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重试</w:t>
      </w:r>
    </w:p>
    <w:p>
      <w:pPr>
        <w:numPr>
          <w:numId w:val="47"/>
        </w:numPr>
        <w:spacing w:before="120" w:after="120" w:line="288" w:lineRule="auto"/>
        <w:ind w:left="0"/>
        <w:jc w:val="left"/>
      </w:pPr>
      <w:r>
        <w:rPr>
          <w:rFonts w:eastAsia="等线" w:ascii="Arial" w:cs="Arial" w:hAnsi="Arial"/>
          <w:sz w:val="22"/>
        </w:rPr>
        <w:t>比赛期间，参赛队可向裁判申请重试，裁判同意后方可进行重试，重试罚时10秒。参赛队被警告时，该队的机器人需要强制重试，并罚10秒后方可继续比赛；</w:t>
      </w:r>
    </w:p>
    <w:p>
      <w:pPr>
        <w:numPr>
          <w:numId w:val="48"/>
        </w:numPr>
        <w:spacing w:before="120" w:after="120" w:line="288" w:lineRule="auto"/>
        <w:ind w:left="0"/>
        <w:jc w:val="left"/>
      </w:pPr>
      <w:r>
        <w:rPr>
          <w:rFonts w:eastAsia="等线" w:ascii="Arial" w:cs="Arial" w:hAnsi="Arial"/>
          <w:sz w:val="22"/>
        </w:rPr>
        <w:t>重试中断机器人此前的任务进度；</w:t>
      </w:r>
    </w:p>
    <w:p>
      <w:pPr>
        <w:numPr>
          <w:numId w:val="49"/>
        </w:numPr>
        <w:spacing w:before="120" w:after="120" w:line="288" w:lineRule="auto"/>
        <w:ind w:left="0"/>
        <w:jc w:val="left"/>
      </w:pPr>
      <w:r>
        <w:rPr>
          <w:rFonts w:eastAsia="等线" w:ascii="Arial" w:cs="Arial" w:hAnsi="Arial"/>
          <w:sz w:val="22"/>
        </w:rPr>
        <w:t>重试次数不做限制；</w:t>
      </w:r>
    </w:p>
    <w:p>
      <w:pPr>
        <w:numPr>
          <w:numId w:val="50"/>
        </w:numPr>
        <w:spacing w:before="120" w:after="120" w:line="288" w:lineRule="auto"/>
        <w:ind w:left="0"/>
        <w:jc w:val="left"/>
      </w:pPr>
      <w:r>
        <w:rPr>
          <w:rFonts w:eastAsia="等线" w:ascii="Arial" w:cs="Arial" w:hAnsi="Arial"/>
          <w:sz w:val="22"/>
        </w:rPr>
        <w:t>禁止将核心球投入专属框或将专属球投入核心框，机器立即重启并罚时10秒，球归位；</w:t>
      </w:r>
    </w:p>
    <w:p>
      <w:pPr>
        <w:numPr>
          <w:numId w:val="51"/>
        </w:numPr>
        <w:spacing w:before="120" w:after="120" w:line="288" w:lineRule="auto"/>
        <w:ind w:left="0"/>
        <w:jc w:val="left"/>
      </w:pPr>
      <w:r>
        <w:rPr>
          <w:rFonts w:eastAsia="等线" w:ascii="Arial" w:cs="Arial" w:hAnsi="Arial"/>
          <w:sz w:val="22"/>
        </w:rPr>
        <w:t>比赛期间若球落出场地外，可以申请重试，等待边裁将球放回宝库。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犯规与判罚</w:t>
      </w:r>
    </w:p>
    <w:p>
      <w:pPr>
        <w:numPr>
          <w:numId w:val="52"/>
        </w:numPr>
        <w:spacing w:before="120" w:after="120" w:line="288" w:lineRule="auto"/>
        <w:ind w:left="0"/>
        <w:jc w:val="left"/>
      </w:pPr>
      <w:r>
        <w:rPr>
          <w:rFonts w:eastAsia="等线" w:ascii="Arial" w:cs="Arial" w:hAnsi="Arial"/>
          <w:sz w:val="22"/>
        </w:rPr>
        <w:t>每支队伍拥有两次警告的权利，收到第二次警告时将同时记为犯规。</w:t>
      </w:r>
    </w:p>
    <w:p>
      <w:pPr>
        <w:numPr>
          <w:numId w:val="53"/>
        </w:numPr>
        <w:spacing w:before="120" w:after="120" w:line="288" w:lineRule="auto"/>
        <w:ind w:left="0"/>
        <w:jc w:val="left"/>
      </w:pPr>
      <w:r>
        <w:rPr>
          <w:rFonts w:eastAsia="等线" w:ascii="Arial" w:cs="Arial" w:hAnsi="Arial"/>
          <w:sz w:val="22"/>
        </w:rPr>
        <w:t>比赛犯规一次即本场比赛判负。</w:t>
      </w:r>
    </w:p>
    <w:p>
      <w:pPr>
        <w:numPr>
          <w:numId w:val="54"/>
        </w:numPr>
        <w:spacing w:before="120" w:after="120" w:line="288" w:lineRule="auto"/>
        <w:ind w:left="0"/>
        <w:jc w:val="left"/>
      </w:pPr>
      <w:r>
        <w:rPr>
          <w:rFonts w:eastAsia="等线" w:ascii="Arial" w:cs="Arial" w:hAnsi="Arial"/>
          <w:sz w:val="22"/>
        </w:rPr>
        <w:t>比赛过程中出现故意冲撞对方机器人将被警告一次，若冲撞使对方机器人受损无法进行比赛，故意冲撞方直接判负；</w:t>
      </w:r>
    </w:p>
    <w:p>
      <w:pPr>
        <w:numPr>
          <w:numId w:val="55"/>
        </w:numPr>
        <w:spacing w:before="120" w:after="120" w:line="288" w:lineRule="auto"/>
        <w:ind w:left="0"/>
        <w:jc w:val="left"/>
      </w:pPr>
      <w:r>
        <w:rPr>
          <w:rFonts w:eastAsia="等线" w:ascii="Arial" w:cs="Arial" w:hAnsi="Arial"/>
          <w:sz w:val="22"/>
        </w:rPr>
        <w:t>机器人若故意破坏场地道具，将被警告一次；</w:t>
      </w:r>
    </w:p>
    <w:p>
      <w:pPr>
        <w:numPr>
          <w:numId w:val="56"/>
        </w:numPr>
        <w:spacing w:before="120" w:after="120" w:line="288" w:lineRule="auto"/>
        <w:ind w:left="0"/>
        <w:jc w:val="left"/>
      </w:pPr>
      <w:r>
        <w:rPr>
          <w:rFonts w:eastAsia="等线" w:ascii="Arial" w:cs="Arial" w:hAnsi="Arial"/>
          <w:sz w:val="22"/>
        </w:rPr>
        <w:t>当参赛队无视裁判的判罚时，裁判将有权给予两次警告或者犯规；</w:t>
      </w:r>
    </w:p>
    <w:p>
      <w:pPr>
        <w:numPr>
          <w:numId w:val="57"/>
        </w:numPr>
        <w:spacing w:before="120" w:after="120" w:line="288" w:lineRule="auto"/>
        <w:ind w:left="0"/>
        <w:jc w:val="left"/>
      </w:pPr>
      <w:r>
        <w:rPr>
          <w:rFonts w:eastAsia="等线" w:ascii="Arial" w:cs="Arial" w:hAnsi="Arial"/>
          <w:sz w:val="22"/>
        </w:rPr>
        <w:t>不能无故在圆框前停留20s以上，否则被警告一次并回到启动区；</w:t>
      </w:r>
    </w:p>
    <w:p>
      <w:pPr>
        <w:numPr>
          <w:numId w:val="58"/>
        </w:numPr>
        <w:spacing w:before="120" w:after="120" w:line="288" w:lineRule="auto"/>
        <w:ind w:left="0"/>
        <w:jc w:val="left"/>
      </w:pPr>
      <w:r>
        <w:rPr>
          <w:rFonts w:eastAsia="等线" w:ascii="Arial" w:cs="Arial" w:hAnsi="Arial"/>
          <w:sz w:val="22"/>
        </w:rPr>
        <w:t>不允许将已进入球框的球取出，否则将被警告一次并强制重试并罚时10秒。</w:t>
      </w:r>
    </w:p>
    <w:p>
      <w:pPr>
        <w:numPr>
          <w:numId w:val="59"/>
        </w:numPr>
        <w:spacing w:before="120" w:after="120" w:line="288" w:lineRule="auto"/>
        <w:ind w:left="0"/>
        <w:jc w:val="left"/>
      </w:pPr>
      <w:r>
        <w:rPr>
          <w:rFonts w:eastAsia="等线" w:ascii="Arial" w:cs="Arial" w:hAnsi="Arial"/>
          <w:sz w:val="22"/>
        </w:rPr>
        <w:t>双方机器人不允许进入对方半场。</w:t>
      </w: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比赛地图</w:t>
      </w:r>
      <w:bookmarkEnd w:id="9"/>
    </w:p>
    <w:p>
      <w:pPr>
        <w:spacing w:before="120" w:after="120" w:line="288" w:lineRule="auto"/>
        <w:ind w:left="0"/>
        <w:jc w:val="center"/>
      </w:pPr>
      <w:r>
        <w:drawing>
          <wp:inline distT="0" distR="0" distB="0" distL="0">
            <wp:extent cx="5257800" cy="2466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9"/>
                    <a:stretch>
                      <a:fillRect/>
                    </a:stretch>
                  </pic:blipFill>
                  <pic:spPr>
                    <a:xfrm>
                      <a:off x="0" y="0"/>
                      <a:ext cx="5257800" cy="2466975"/>
                    </a:xfrm>
                    <a:prstGeom prst="rect">
                      <a:avLst/>
                    </a:prstGeom>
                  </pic:spPr>
                </pic:pic>
              </a:graphicData>
            </a:graphic>
          </wp:inline>
        </w:drawing>
      </w: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5. </w:t>
      </w:r>
      <w:r>
        <w:rPr>
          <w:rFonts w:eastAsia="等线" w:ascii="Arial" w:cs="Arial" w:hAnsi="Arial"/>
          <w:b w:val="true"/>
          <w:sz w:val="36"/>
        </w:rPr>
        <w:t>比赛赛程</w:t>
      </w:r>
      <w:bookmarkEnd w:id="10"/>
    </w:p>
    <w:p>
      <w:pPr>
        <w:pStyle w:val="2"/>
        <w:spacing w:before="320" w:after="120" w:line="288" w:lineRule="auto"/>
        <w:ind w:left="453"/>
        <w:jc w:val="left"/>
        <w:outlineLvl w:val="1"/>
      </w:pPr>
      <w:bookmarkStart w:name="heading_11" w:id="11"/>
      <w:r>
        <w:rPr>
          <w:rFonts w:eastAsia="等线" w:ascii="Arial" w:cs="Arial" w:hAnsi="Arial"/>
          <w:color w:val="3370ff"/>
          <w:sz w:val="32"/>
        </w:rPr>
        <w:t xml:space="preserve">5.1 </w:t>
      </w:r>
      <w:r>
        <w:rPr>
          <w:rFonts w:eastAsia="等线" w:ascii="Arial" w:cs="Arial" w:hAnsi="Arial"/>
          <w:b w:val="true"/>
          <w:sz w:val="32"/>
        </w:rPr>
        <w:t>赛制</w:t>
      </w:r>
      <w:bookmarkEnd w:id="11"/>
    </w:p>
    <w:p>
      <w:pPr>
        <w:numPr>
          <w:numId w:val="60"/>
        </w:numPr>
        <w:spacing w:before="120" w:after="120" w:line="288" w:lineRule="auto"/>
        <w:ind w:left="453"/>
        <w:jc w:val="left"/>
      </w:pPr>
      <w:r>
        <w:rPr>
          <w:rFonts w:eastAsia="等线" w:ascii="Arial" w:cs="Arial" w:hAnsi="Arial"/>
          <w:sz w:val="22"/>
        </w:rPr>
        <w:t>2026方舟将采用 积分赛+24进16瑞士轮+淘汰赛的方式进行，赛前有一次预检录和适应性训练。</w:t>
      </w:r>
    </w:p>
    <w:p>
      <w:pPr>
        <w:pStyle w:val="3"/>
        <w:spacing w:before="300" w:after="120" w:line="288" w:lineRule="auto"/>
        <w:ind w:left="907"/>
        <w:jc w:val="left"/>
        <w:outlineLvl w:val="2"/>
      </w:pPr>
      <w:bookmarkStart w:name="heading_12" w:id="12"/>
      <w:r>
        <w:rPr>
          <w:rFonts w:eastAsia="等线" w:ascii="Arial" w:cs="Arial" w:hAnsi="Arial"/>
          <w:color w:val="3370ff"/>
          <w:sz w:val="30"/>
        </w:rPr>
        <w:t xml:space="preserve">5.1.1 </w:t>
      </w:r>
      <w:r>
        <w:rPr>
          <w:rFonts w:eastAsia="等线" w:ascii="Arial" w:cs="Arial" w:hAnsi="Arial"/>
          <w:b w:val="true"/>
          <w:sz w:val="30"/>
        </w:rPr>
        <w:t>预检录</w:t>
      </w:r>
      <w:bookmarkEnd w:id="12"/>
    </w:p>
    <w:p>
      <w:pPr>
        <w:numPr>
          <w:numId w:val="61"/>
        </w:numPr>
        <w:spacing w:before="120" w:after="120" w:line="288" w:lineRule="auto"/>
        <w:ind w:left="907"/>
        <w:jc w:val="left"/>
      </w:pPr>
      <w:r>
        <w:rPr>
          <w:rFonts w:eastAsia="等线" w:ascii="Arial" w:cs="Arial" w:hAnsi="Arial"/>
          <w:sz w:val="22"/>
        </w:rPr>
        <w:t>预检录与正式比赛检录相同，目的在让参赛队伍在检录中发现机器人设计问题，并在赛前做最后一次修改。</w:t>
      </w:r>
    </w:p>
    <w:p>
      <w:pPr>
        <w:numPr>
          <w:numId w:val="62"/>
        </w:numPr>
        <w:spacing w:before="120" w:after="120" w:line="288" w:lineRule="auto"/>
        <w:ind w:left="907"/>
        <w:jc w:val="left"/>
      </w:pPr>
      <w:r>
        <w:rPr>
          <w:rFonts w:eastAsia="等线" w:ascii="Arial" w:cs="Arial" w:hAnsi="Arial"/>
          <w:sz w:val="22"/>
        </w:rPr>
        <w:t>预检录顺序根据参赛队报到顺序决定。</w:t>
      </w:r>
    </w:p>
    <w:p>
      <w:pPr>
        <w:numPr>
          <w:numId w:val="63"/>
        </w:numPr>
        <w:spacing w:before="120" w:after="120" w:line="288" w:lineRule="auto"/>
        <w:ind w:left="907"/>
        <w:jc w:val="left"/>
      </w:pPr>
      <w:r>
        <w:rPr>
          <w:rFonts w:eastAsia="等线" w:ascii="Arial" w:cs="Arial" w:hAnsi="Arial"/>
          <w:sz w:val="22"/>
        </w:rPr>
        <w:t>预检录通过不作为正式比赛检录通过的依据。</w:t>
      </w:r>
    </w:p>
    <w:p>
      <w:pPr>
        <w:numPr>
          <w:numId w:val="64"/>
        </w:numPr>
        <w:spacing w:before="120" w:after="120" w:line="288" w:lineRule="auto"/>
        <w:ind w:left="907"/>
        <w:jc w:val="left"/>
      </w:pPr>
      <w:r>
        <w:rPr>
          <w:rFonts w:eastAsia="等线" w:ascii="Arial" w:cs="Arial" w:hAnsi="Arial"/>
          <w:sz w:val="22"/>
        </w:rPr>
        <w:t>每个队伍仅有一次预检录机会。</w:t>
      </w:r>
    </w:p>
    <w:p>
      <w:pPr>
        <w:numPr>
          <w:numId w:val="65"/>
        </w:numPr>
        <w:spacing w:before="120" w:after="120" w:line="288" w:lineRule="auto"/>
        <w:ind w:left="907"/>
        <w:jc w:val="left"/>
      </w:pPr>
      <w:r>
        <w:rPr>
          <w:rFonts w:eastAsia="等线" w:ascii="Arial" w:cs="Arial" w:hAnsi="Arial"/>
          <w:sz w:val="22"/>
        </w:rPr>
        <w:t>预检录的人员要求与正式检录相同。</w:t>
      </w:r>
    </w:p>
    <w:p>
      <w:pPr>
        <w:pStyle w:val="3"/>
        <w:spacing w:before="300" w:after="120" w:line="288" w:lineRule="auto"/>
        <w:ind w:left="907"/>
        <w:jc w:val="left"/>
        <w:outlineLvl w:val="2"/>
      </w:pPr>
      <w:bookmarkStart w:name="heading_13" w:id="13"/>
      <w:r>
        <w:rPr>
          <w:rFonts w:eastAsia="等线" w:ascii="Arial" w:cs="Arial" w:hAnsi="Arial"/>
          <w:color w:val="3370ff"/>
          <w:sz w:val="30"/>
        </w:rPr>
        <w:t xml:space="preserve">5.1.2 </w:t>
      </w:r>
      <w:r>
        <w:rPr>
          <w:rFonts w:eastAsia="等线" w:ascii="Arial" w:cs="Arial" w:hAnsi="Arial"/>
          <w:b w:val="true"/>
          <w:sz w:val="30"/>
        </w:rPr>
        <w:t>适应性训练</w:t>
      </w:r>
      <w:bookmarkEnd w:id="13"/>
    </w:p>
    <w:p>
      <w:pPr>
        <w:numPr>
          <w:numId w:val="66"/>
        </w:numPr>
        <w:spacing w:before="120" w:after="120" w:line="288" w:lineRule="auto"/>
        <w:ind w:left="907"/>
        <w:jc w:val="left"/>
      </w:pPr>
      <w:r>
        <w:rPr>
          <w:rFonts w:eastAsia="等线" w:ascii="Arial" w:cs="Arial" w:hAnsi="Arial"/>
          <w:sz w:val="22"/>
        </w:rPr>
        <w:t>每个队伍会根据报到顺序两两一组进行BO1的正式比赛，一组适应性训练共8min，包括1min准备阶段、5s倒计时阶段、5min比赛阶段与2min自由调试阶段。若因为参赛队伍导致时间拖延则由参赛队伍自行承担时间损失。</w:t>
      </w:r>
    </w:p>
    <w:p>
      <w:pPr>
        <w:pStyle w:val="3"/>
        <w:spacing w:before="300" w:after="120" w:line="288" w:lineRule="auto"/>
        <w:ind w:left="907"/>
        <w:jc w:val="left"/>
        <w:outlineLvl w:val="2"/>
      </w:pPr>
      <w:bookmarkStart w:name="heading_14" w:id="14"/>
      <w:r>
        <w:rPr>
          <w:rFonts w:eastAsia="等线" w:ascii="Arial" w:cs="Arial" w:hAnsi="Arial"/>
          <w:color w:val="3370ff"/>
          <w:sz w:val="30"/>
        </w:rPr>
        <w:t xml:space="preserve">5.1.3 </w:t>
      </w:r>
      <w:r>
        <w:rPr>
          <w:rFonts w:eastAsia="等线" w:ascii="Arial" w:cs="Arial" w:hAnsi="Arial"/>
          <w:b w:val="true"/>
          <w:sz w:val="30"/>
        </w:rPr>
        <w:t>积分赛</w:t>
      </w:r>
      <w:bookmarkEnd w:id="14"/>
    </w:p>
    <w:tbl>
      <w:tblPr>
        <w:tblW w:w="0" w:type="auto"/>
        <w:tblInd w:w="907"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numPr>
                <w:numId w:val="67"/>
              </w:numPr>
              <w:spacing w:before="120" w:after="120" w:line="288" w:lineRule="auto"/>
              <w:ind w:left="0"/>
              <w:jc w:val="left"/>
            </w:pPr>
            <w:r>
              <w:rPr>
                <w:rFonts w:eastAsia="等线" w:ascii="Arial" w:cs="Arial" w:hAnsi="Arial"/>
                <w:sz w:val="22"/>
              </w:rPr>
              <w:t>积分赛将根据抽签顺序进行。</w:t>
            </w:r>
          </w:p>
          <w:p>
            <w:pPr>
              <w:numPr>
                <w:numId w:val="68"/>
              </w:numPr>
              <w:spacing w:before="120" w:after="120" w:line="288" w:lineRule="auto"/>
              <w:ind w:left="0"/>
              <w:jc w:val="left"/>
            </w:pPr>
            <w:r>
              <w:rPr>
                <w:rFonts w:eastAsia="等线" w:ascii="Arial" w:cs="Arial" w:hAnsi="Arial"/>
                <w:sz w:val="22"/>
              </w:rPr>
              <w:t>积分赛中每个队伍单独上场分别在红方和蓝方进行一次BO1的比赛。</w:t>
            </w:r>
          </w:p>
          <w:p>
            <w:pPr>
              <w:numPr>
                <w:numId w:val="69"/>
              </w:numPr>
              <w:spacing w:before="120" w:after="120" w:line="288" w:lineRule="auto"/>
              <w:ind w:left="0"/>
              <w:jc w:val="left"/>
            </w:pPr>
            <w:r>
              <w:rPr>
                <w:rFonts w:eastAsia="等线" w:ascii="Arial" w:cs="Arial" w:hAnsi="Arial"/>
                <w:sz w:val="22"/>
              </w:rPr>
              <w:t>积分赛没有大胜环节，最终得分为两局比赛的平均分。</w:t>
            </w:r>
          </w:p>
          <w:p>
            <w:pPr>
              <w:numPr>
                <w:numId w:val="70"/>
              </w:numPr>
              <w:spacing w:before="120" w:after="120" w:line="288" w:lineRule="auto"/>
              <w:ind w:left="0"/>
              <w:jc w:val="left"/>
            </w:pPr>
            <w:r>
              <w:rPr>
                <w:rFonts w:eastAsia="等线" w:ascii="Arial" w:cs="Arial" w:hAnsi="Arial"/>
                <w:sz w:val="22"/>
              </w:rPr>
              <w:t>此阶段将按照积分赛最终得分倒序排序，取前24名进入瑞士轮。若出现同得分，则按照以下规则进行判断：</w:t>
            </w:r>
          </w:p>
          <w:p>
            <w:pPr>
              <w:numPr>
                <w:numId w:val="71"/>
              </w:numPr>
              <w:spacing w:before="120" w:after="120" w:line="288" w:lineRule="auto"/>
              <w:ind w:left="453"/>
              <w:jc w:val="left"/>
            </w:pPr>
            <w:r>
              <w:rPr>
                <w:rFonts w:eastAsia="等线" w:ascii="Arial" w:cs="Arial" w:hAnsi="Arial"/>
                <w:sz w:val="22"/>
              </w:rPr>
              <w:t>得分持平时，完成时间短的队伍获胜。</w:t>
            </w:r>
          </w:p>
          <w:p>
            <w:pPr>
              <w:numPr>
                <w:numId w:val="72"/>
              </w:numPr>
              <w:spacing w:before="120" w:after="120" w:line="288" w:lineRule="auto"/>
              <w:ind w:left="453"/>
              <w:jc w:val="left"/>
            </w:pPr>
            <w:r>
              <w:rPr>
                <w:rFonts w:eastAsia="等线" w:ascii="Arial" w:cs="Arial" w:hAnsi="Arial"/>
                <w:sz w:val="22"/>
              </w:rPr>
              <w:t>时间若持平，则根据车重判断，轻者获胜。</w:t>
            </w:r>
          </w:p>
          <w:p>
            <w:pPr>
              <w:numPr>
                <w:numId w:val="73"/>
              </w:numPr>
              <w:spacing w:before="120" w:after="120" w:line="288" w:lineRule="auto"/>
              <w:ind w:left="453"/>
              <w:jc w:val="left"/>
            </w:pPr>
            <w:r>
              <w:rPr>
                <w:rFonts w:eastAsia="等线" w:ascii="Arial" w:cs="Arial" w:hAnsi="Arial"/>
                <w:sz w:val="22"/>
              </w:rPr>
              <w:t>如果仍然持平，由裁判组确定获胜队伍或重赛。</w:t>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33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20"/>
                          <a:stretch>
                            <a:fillRect/>
                          </a:stretch>
                        </pic:blipFill>
                        <pic:spPr>
                          <a:xfrm>
                            <a:off x="0" y="0"/>
                            <a:ext cx="2476500" cy="333375"/>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907"/>
        <w:jc w:val="left"/>
        <w:outlineLvl w:val="2"/>
      </w:pPr>
      <w:bookmarkStart w:name="heading_15" w:id="15"/>
      <w:r>
        <w:rPr>
          <w:rFonts w:eastAsia="等线" w:ascii="Arial" w:cs="Arial" w:hAnsi="Arial"/>
          <w:color w:val="3370ff"/>
          <w:sz w:val="30"/>
        </w:rPr>
        <w:t xml:space="preserve">5.1.4 </w:t>
      </w:r>
      <w:r>
        <w:rPr>
          <w:rFonts w:eastAsia="等线" w:ascii="Arial" w:cs="Arial" w:hAnsi="Arial"/>
          <w:b w:val="true"/>
          <w:sz w:val="30"/>
        </w:rPr>
        <w:t>瑞士轮</w:t>
      </w:r>
      <w:bookmarkEnd w:id="15"/>
    </w:p>
    <w:p>
      <w:pPr>
        <w:spacing w:before="120" w:after="120" w:line="288" w:lineRule="auto"/>
        <w:ind w:left="1360"/>
        <w:jc w:val="center"/>
      </w:pPr>
      <w:r>
        <w:drawing>
          <wp:inline distT="0" distR="0" distB="0" distL="0">
            <wp:extent cx="5257800" cy="29908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21"/>
                    <a:stretch>
                      <a:fillRect/>
                    </a:stretch>
                  </pic:blipFill>
                  <pic:spPr>
                    <a:xfrm>
                      <a:off x="0" y="0"/>
                      <a:ext cx="5257800" cy="2990850"/>
                    </a:xfrm>
                    <a:prstGeom prst="rect">
                      <a:avLst/>
                    </a:prstGeom>
                  </pic:spPr>
                </pic:pic>
              </a:graphicData>
            </a:graphic>
          </wp:inline>
        </w:drawing>
      </w:r>
    </w:p>
    <w:p>
      <w:pPr>
        <w:pStyle w:val="4"/>
        <w:spacing w:before="260" w:after="120" w:line="288" w:lineRule="auto"/>
        <w:ind w:left="1360"/>
        <w:jc w:val="left"/>
        <w:outlineLvl w:val="3"/>
      </w:pPr>
      <w:bookmarkStart w:name="heading_16" w:id="16"/>
      <w:r>
        <w:rPr>
          <w:rFonts w:eastAsia="等线" w:ascii="Arial" w:cs="Arial" w:hAnsi="Arial"/>
          <w:color w:val="3370ff"/>
          <w:sz w:val="28"/>
        </w:rPr>
        <w:t xml:space="preserve">5.1.4.1 </w:t>
      </w:r>
      <w:r>
        <w:rPr>
          <w:rFonts w:eastAsia="等线" w:ascii="Arial" w:cs="Arial" w:hAnsi="Arial"/>
          <w:b w:val="true"/>
          <w:sz w:val="28"/>
        </w:rPr>
        <w:t>方案A</w:t>
      </w:r>
      <w:bookmarkEnd w:id="16"/>
    </w:p>
    <w:p>
      <w:pPr>
        <w:numPr>
          <w:numId w:val="74"/>
        </w:numPr>
        <w:spacing w:before="120" w:after="120" w:line="288" w:lineRule="auto"/>
        <w:ind w:left="1360"/>
        <w:jc w:val="left"/>
      </w:pPr>
      <w:r>
        <w:rPr>
          <w:rFonts w:eastAsia="等线" w:ascii="Arial" w:cs="Arial" w:hAnsi="Arial"/>
          <w:sz w:val="22"/>
        </w:rPr>
        <w:t>参赛队伍根据积分赛名次，排名第01对阵排名第24，排名第02对阵排名第23，以此类推。</w:t>
      </w:r>
    </w:p>
    <w:p>
      <w:pPr>
        <w:numPr>
          <w:numId w:val="75"/>
        </w:numPr>
        <w:spacing w:before="120" w:after="120" w:line="288" w:lineRule="auto"/>
        <w:ind w:left="1360"/>
        <w:jc w:val="left"/>
      </w:pPr>
      <w:r>
        <w:rPr>
          <w:rFonts w:eastAsia="等线" w:ascii="Arial" w:cs="Arial" w:hAnsi="Arial"/>
          <w:sz w:val="22"/>
        </w:rPr>
        <w:t>对局胜利者轮积分+1，进入第2轮1:0组，失败者轮积分不变进入第2轮0:1组。</w:t>
      </w:r>
    </w:p>
    <w:p>
      <w:pPr>
        <w:pStyle w:val="4"/>
        <w:spacing w:before="260" w:after="120" w:line="288" w:lineRule="auto"/>
        <w:ind w:left="1360"/>
        <w:jc w:val="left"/>
        <w:outlineLvl w:val="3"/>
      </w:pPr>
      <w:bookmarkStart w:name="heading_17" w:id="17"/>
      <w:r>
        <w:rPr>
          <w:rFonts w:eastAsia="等线" w:ascii="Arial" w:cs="Arial" w:hAnsi="Arial"/>
          <w:color w:val="3370ff"/>
          <w:sz w:val="28"/>
        </w:rPr>
        <w:t xml:space="preserve">5.1.4.2 </w:t>
      </w:r>
      <w:r>
        <w:rPr>
          <w:rFonts w:eastAsia="等线" w:ascii="Arial" w:cs="Arial" w:hAnsi="Arial"/>
          <w:b w:val="true"/>
          <w:sz w:val="28"/>
        </w:rPr>
        <w:t>方案B</w:t>
      </w:r>
      <w:bookmarkEnd w:id="17"/>
    </w:p>
    <w:p>
      <w:pPr>
        <w:numPr>
          <w:numId w:val="76"/>
        </w:numPr>
        <w:spacing w:before="120" w:after="120" w:line="288" w:lineRule="auto"/>
        <w:ind w:left="1360"/>
        <w:jc w:val="left"/>
      </w:pPr>
      <w:r>
        <w:rPr>
          <w:rFonts w:eastAsia="等线" w:ascii="Arial" w:cs="Arial" w:hAnsi="Arial"/>
          <w:sz w:val="22"/>
        </w:rPr>
        <w:t>参赛队伍根据上一轮瑞士轮赛果排位名次，排名第01对阵排名第02，排名第03对阵排名第04，以此类推。</w:t>
      </w:r>
    </w:p>
    <w:p>
      <w:pPr>
        <w:pStyle w:val="4"/>
        <w:spacing w:before="260" w:after="120" w:line="288" w:lineRule="auto"/>
        <w:ind w:left="1360"/>
        <w:jc w:val="left"/>
        <w:outlineLvl w:val="3"/>
      </w:pPr>
      <w:bookmarkStart w:name="heading_18" w:id="18"/>
      <w:r>
        <w:rPr>
          <w:rFonts w:eastAsia="等线" w:ascii="Arial" w:cs="Arial" w:hAnsi="Arial"/>
          <w:color w:val="3370ff"/>
          <w:sz w:val="28"/>
        </w:rPr>
        <w:t xml:space="preserve">5.1.4.3 </w:t>
      </w:r>
      <w:r>
        <w:rPr>
          <w:rFonts w:eastAsia="等线" w:ascii="Arial" w:cs="Arial" w:hAnsi="Arial"/>
          <w:b w:val="true"/>
          <w:sz w:val="28"/>
        </w:rPr>
        <w:t>方案C</w:t>
      </w:r>
      <w:bookmarkEnd w:id="18"/>
    </w:p>
    <w:p>
      <w:pPr>
        <w:numPr>
          <w:numId w:val="77"/>
        </w:numPr>
        <w:spacing w:before="120" w:after="120" w:line="288" w:lineRule="auto"/>
        <w:ind w:left="1360"/>
        <w:jc w:val="left"/>
      </w:pPr>
      <w:r>
        <w:rPr>
          <w:rFonts w:eastAsia="等线" w:ascii="Arial" w:cs="Arial" w:hAnsi="Arial"/>
          <w:sz w:val="22"/>
        </w:rPr>
        <w:t>参赛队伍根据上一轮瑞士轮赛果排位名次，排名第01对阵排名第12，排名第02对阵排名第11，以此类推。</w:t>
      </w:r>
    </w:p>
    <w:p>
      <w:pPr>
        <w:pStyle w:val="4"/>
        <w:spacing w:before="260" w:after="120" w:line="288" w:lineRule="auto"/>
        <w:ind w:left="1360"/>
        <w:jc w:val="left"/>
        <w:outlineLvl w:val="3"/>
      </w:pPr>
      <w:bookmarkStart w:name="heading_19" w:id="19"/>
      <w:r>
        <w:rPr>
          <w:rFonts w:eastAsia="等线" w:ascii="Arial" w:cs="Arial" w:hAnsi="Arial"/>
          <w:color w:val="3370ff"/>
          <w:sz w:val="28"/>
        </w:rPr>
        <w:t xml:space="preserve">5.1.4.4 </w:t>
      </w:r>
      <w:r>
        <w:rPr>
          <w:rFonts w:eastAsia="等线" w:ascii="Arial" w:cs="Arial" w:hAnsi="Arial"/>
          <w:b w:val="true"/>
          <w:sz w:val="28"/>
        </w:rPr>
        <w:t xml:space="preserve">方案D </w:t>
      </w:r>
      <w:bookmarkEnd w:id="19"/>
    </w:p>
    <w:p>
      <w:pPr>
        <w:numPr>
          <w:numId w:val="78"/>
        </w:numPr>
        <w:spacing w:before="120" w:after="120" w:line="288" w:lineRule="auto"/>
        <w:ind w:left="1360"/>
        <w:jc w:val="left"/>
      </w:pPr>
      <w:r>
        <w:rPr>
          <w:rFonts w:eastAsia="等线" w:ascii="Arial" w:cs="Arial" w:hAnsi="Arial"/>
          <w:sz w:val="22"/>
        </w:rPr>
        <w:t>以下条例根据上一轮瑞士轮顺序进行判断，若无法区分具体排位则自动进入下一项判断</w:t>
      </w:r>
    </w:p>
    <w:p>
      <w:pPr>
        <w:numPr>
          <w:numId w:val="79"/>
        </w:numPr>
        <w:spacing w:before="120" w:after="120" w:line="288" w:lineRule="auto"/>
        <w:ind w:left="1814"/>
        <w:jc w:val="left"/>
      </w:pPr>
      <w:r>
        <w:rPr>
          <w:rFonts w:eastAsia="等线" w:ascii="Arial" w:cs="Arial" w:hAnsi="Arial"/>
          <w:sz w:val="22"/>
        </w:rPr>
        <w:t>获胜的对局的剩余完赛时间顺序排序，剩余时间长的队伍靠前。</w:t>
      </w:r>
    </w:p>
    <w:p>
      <w:pPr>
        <w:numPr>
          <w:numId w:val="80"/>
        </w:numPr>
        <w:spacing w:before="120" w:after="120" w:line="288" w:lineRule="auto"/>
        <w:ind w:left="1814"/>
        <w:jc w:val="left"/>
      </w:pPr>
      <w:r>
        <w:rPr>
          <w:rFonts w:eastAsia="等线" w:ascii="Arial" w:cs="Arial" w:hAnsi="Arial"/>
          <w:sz w:val="22"/>
        </w:rPr>
        <w:t>非大胜获胜局得分倒序排序，得分高的队伍靠前。</w:t>
      </w:r>
    </w:p>
    <w:p>
      <w:pPr>
        <w:numPr>
          <w:numId w:val="81"/>
        </w:numPr>
        <w:spacing w:before="120" w:after="120" w:line="288" w:lineRule="auto"/>
        <w:ind w:left="1814"/>
        <w:jc w:val="left"/>
      </w:pPr>
      <w:r>
        <w:rPr>
          <w:rFonts w:eastAsia="等线" w:ascii="Arial" w:cs="Arial" w:hAnsi="Arial"/>
          <w:sz w:val="22"/>
        </w:rPr>
        <w:t>以检录测定车重判断，轻者排名靠前。</w:t>
      </w:r>
    </w:p>
    <w:p>
      <w:pPr>
        <w:numPr>
          <w:numId w:val="82"/>
        </w:numPr>
        <w:spacing w:before="120" w:after="120" w:line="288" w:lineRule="auto"/>
        <w:ind w:left="1814"/>
        <w:jc w:val="left"/>
      </w:pPr>
      <w:r>
        <w:rPr>
          <w:rFonts w:eastAsia="等线" w:ascii="Arial" w:cs="Arial" w:hAnsi="Arial"/>
          <w:sz w:val="22"/>
        </w:rPr>
        <w:t>如果仍然持平，则加赛一局BO1，多个队伍同触发此条款则分别与其余对手加赛一局BO1，所有队伍的加赛局平均得分最大者晋级。</w:t>
      </w:r>
    </w:p>
    <w:p>
      <w:pPr>
        <w:pStyle w:val="3"/>
        <w:spacing w:before="300" w:after="120" w:line="288" w:lineRule="auto"/>
        <w:ind w:left="907"/>
        <w:jc w:val="left"/>
        <w:outlineLvl w:val="2"/>
      </w:pPr>
      <w:bookmarkStart w:name="heading_20" w:id="20"/>
      <w:r>
        <w:rPr>
          <w:rFonts w:eastAsia="等线" w:ascii="Arial" w:cs="Arial" w:hAnsi="Arial"/>
          <w:color w:val="3370ff"/>
          <w:sz w:val="30"/>
        </w:rPr>
        <w:t xml:space="preserve">5.1.5 </w:t>
      </w:r>
      <w:r>
        <w:rPr>
          <w:rFonts w:eastAsia="等线" w:ascii="Arial" w:cs="Arial" w:hAnsi="Arial"/>
          <w:b w:val="true"/>
          <w:sz w:val="30"/>
        </w:rPr>
        <w:t>淘汰赛</w:t>
      </w:r>
      <w:bookmarkEnd w:id="20"/>
    </w:p>
    <w:p>
      <w:pPr>
        <w:spacing w:before="120" w:after="120" w:line="288" w:lineRule="auto"/>
        <w:ind w:left="907"/>
        <w:jc w:val="center"/>
      </w:pPr>
      <w:r>
        <w:drawing>
          <wp:inline distT="0" distR="0" distB="0" distL="0">
            <wp:extent cx="5257800" cy="24765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2"/>
                    <a:stretch>
                      <a:fillRect/>
                    </a:stretch>
                  </pic:blipFill>
                  <pic:spPr>
                    <a:xfrm>
                      <a:off x="0" y="0"/>
                      <a:ext cx="5257800" cy="2476500"/>
                    </a:xfrm>
                    <a:prstGeom prst="rect">
                      <a:avLst/>
                    </a:prstGeom>
                  </pic:spPr>
                </pic:pic>
              </a:graphicData>
            </a:graphic>
          </wp:inline>
        </w:drawing>
      </w:r>
    </w:p>
    <w:p>
      <w:pPr>
        <w:numPr>
          <w:numId w:val="83"/>
        </w:numPr>
        <w:spacing w:before="120" w:after="120" w:line="288" w:lineRule="auto"/>
        <w:ind w:left="907"/>
        <w:jc w:val="left"/>
      </w:pPr>
      <w:r>
        <w:rPr>
          <w:rFonts w:eastAsia="等线" w:ascii="Arial" w:cs="Arial" w:hAnsi="Arial"/>
          <w:sz w:val="22"/>
        </w:rPr>
        <w:t>淘汰赛将根据瑞士轮排位进行分组，具体分组方法如上图。</w:t>
      </w:r>
    </w:p>
    <w:p>
      <w:pPr>
        <w:numPr>
          <w:numId w:val="84"/>
        </w:numPr>
        <w:spacing w:before="120" w:after="120" w:line="288" w:lineRule="auto"/>
        <w:ind w:left="907"/>
        <w:jc w:val="left"/>
      </w:pPr>
      <w:r>
        <w:rPr>
          <w:rFonts w:eastAsia="等线" w:ascii="Arial" w:cs="Arial" w:hAnsi="Arial"/>
          <w:sz w:val="22"/>
        </w:rPr>
        <w:t>除去季军争夺战与冠军争夺战为BO5赛制以外其余淘汰赛为BO3赛制。</w:t>
      </w:r>
    </w:p>
    <w:p>
      <w:pPr>
        <w:pStyle w:val="3"/>
        <w:spacing w:before="300" w:after="120" w:line="288" w:lineRule="auto"/>
        <w:ind w:left="907"/>
        <w:jc w:val="left"/>
        <w:outlineLvl w:val="2"/>
      </w:pPr>
      <w:bookmarkStart w:name="heading_21" w:id="21"/>
      <w:r>
        <w:rPr>
          <w:rFonts w:eastAsia="等线" w:ascii="Arial" w:cs="Arial" w:hAnsi="Arial"/>
          <w:color w:val="3370ff"/>
          <w:sz w:val="30"/>
        </w:rPr>
        <w:t xml:space="preserve">5.1.6 </w:t>
      </w:r>
      <w:r>
        <w:rPr>
          <w:rFonts w:eastAsia="等线" w:ascii="Arial" w:cs="Arial" w:hAnsi="Arial"/>
          <w:b w:val="true"/>
          <w:sz w:val="30"/>
        </w:rPr>
        <w:t>名词解释</w:t>
      </w:r>
      <w:bookmarkEnd w:id="21"/>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6075"/>
      </w:tblGrid>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名词</w:t>
            </w:r>
          </w:p>
        </w:tc>
        <w:tc>
          <w:tcPr>
            <w:tcW w:w="6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解释</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局</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一次5分钟正式比赛。</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场</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与同一对手在同一赛段下进行的对局统称，如BO2赛制中2局比赛视作1场。</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得分</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根据得分表，参赛队伍在一局比赛中的总得分。</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积分赛最终得分</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积分赛最终得分为两局比赛的平均分。</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轮积分</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瑞士轮中“获胜场次:失败场次”，如某队伍第1轮BO3获胜，此时轮积分为1:0，第2轮BO3失败，此时积分为1:1，第3轮BO3获胜，此时积分为2:1。</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平均剩余完赛时间</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获胜对局在比赛结束时剩余的时间，比如某队用4:30完成大胜，则该局剩余时间为30s，若无大胜则为0，失败不计入计算。</w:t>
            </w:r>
          </w:p>
        </w:tc>
      </w:tr>
    </w:tbl>
    <w:p>
      <w:pPr>
        <w:pStyle w:val="2"/>
        <w:spacing w:before="320" w:after="120" w:line="288" w:lineRule="auto"/>
        <w:ind w:left="453"/>
        <w:jc w:val="left"/>
        <w:outlineLvl w:val="1"/>
      </w:pPr>
      <w:bookmarkStart w:name="heading_22" w:id="22"/>
      <w:r>
        <w:rPr>
          <w:rFonts w:eastAsia="等线" w:ascii="Arial" w:cs="Arial" w:hAnsi="Arial"/>
          <w:color w:val="3370ff"/>
          <w:sz w:val="32"/>
        </w:rPr>
        <w:t xml:space="preserve">5.2 </w:t>
      </w:r>
      <w:r>
        <w:rPr>
          <w:rFonts w:eastAsia="等线" w:ascii="Arial" w:cs="Arial" w:hAnsi="Arial"/>
          <w:b w:val="true"/>
          <w:sz w:val="32"/>
        </w:rPr>
        <w:t>日程安排</w:t>
      </w:r>
      <w:bookmarkEnd w:id="22"/>
    </w:p>
    <w:p>
      <w:pPr>
        <w:numPr>
          <w:numId w:val="85"/>
        </w:numPr>
        <w:spacing w:before="120" w:after="120" w:line="288" w:lineRule="auto"/>
        <w:ind w:left="453"/>
        <w:jc w:val="left"/>
      </w:pPr>
      <w:r>
        <w:rPr>
          <w:rFonts w:eastAsia="等线" w:ascii="Arial" w:cs="Arial" w:hAnsi="Arial"/>
          <w:sz w:val="22"/>
        </w:rPr>
        <w:t>2025方舟计划在2026年7月23日至25日举行，其包括2个赛前日与4个比赛日。</w:t>
      </w:r>
    </w:p>
    <w:p>
      <w:pPr>
        <w:numPr>
          <w:numId w:val="86"/>
        </w:numPr>
        <w:spacing w:before="120" w:after="120" w:line="288" w:lineRule="auto"/>
        <w:ind w:left="453"/>
        <w:jc w:val="left"/>
      </w:pPr>
      <w:r>
        <w:rPr>
          <w:rFonts w:eastAsia="等线" w:ascii="Arial" w:cs="Arial" w:hAnsi="Arial"/>
          <w:sz w:val="22"/>
        </w:rPr>
        <w:t>具体时间安排后续公布。</w:t>
      </w:r>
    </w:p>
    <w:p>
      <w:pPr>
        <w:pStyle w:val="3"/>
        <w:spacing w:before="300" w:after="120" w:line="288" w:lineRule="auto"/>
        <w:ind w:left="907"/>
        <w:jc w:val="left"/>
        <w:outlineLvl w:val="2"/>
      </w:pPr>
      <w:bookmarkStart w:name="heading_23" w:id="23"/>
      <w:r>
        <w:rPr>
          <w:rFonts w:eastAsia="等线" w:ascii="Arial" w:cs="Arial" w:hAnsi="Arial"/>
          <w:color w:val="3370ff"/>
          <w:sz w:val="30"/>
        </w:rPr>
        <w:t xml:space="preserve">5.2.1 </w:t>
      </w:r>
      <w:r>
        <w:rPr>
          <w:rFonts w:eastAsia="等线" w:ascii="Arial" w:cs="Arial" w:hAnsi="Arial"/>
          <w:b w:val="true"/>
          <w:sz w:val="30"/>
        </w:rPr>
        <w:t>赛前安排</w:t>
      </w:r>
      <w:bookmarkEnd w:id="23"/>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6345"/>
      </w:tblGrid>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参赛队报道</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7月22日15:30-16:30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预检录</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7月22日16:00-16:30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开幕式</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7月23日09:00-09:30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适应性训练</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7月23日08:30-12:00</w:t>
            </w:r>
          </w:p>
        </w:tc>
      </w:tr>
    </w:tbl>
    <w:p>
      <w:pPr>
        <w:pStyle w:val="3"/>
        <w:spacing w:before="300" w:after="120" w:line="288" w:lineRule="auto"/>
        <w:ind w:left="907"/>
        <w:jc w:val="left"/>
        <w:outlineLvl w:val="2"/>
      </w:pPr>
      <w:bookmarkStart w:name="heading_24" w:id="24"/>
      <w:r>
        <w:rPr>
          <w:rFonts w:eastAsia="等线" w:ascii="Arial" w:cs="Arial" w:hAnsi="Arial"/>
          <w:color w:val="3370ff"/>
          <w:sz w:val="30"/>
        </w:rPr>
        <w:t xml:space="preserve">5.2.2 </w:t>
      </w:r>
      <w:r>
        <w:rPr>
          <w:rFonts w:eastAsia="等线" w:ascii="Arial" w:cs="Arial" w:hAnsi="Arial"/>
          <w:b w:val="true"/>
          <w:sz w:val="30"/>
        </w:rPr>
        <w:t>赛程安排</w:t>
      </w:r>
      <w:bookmarkEnd w:id="24"/>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6345"/>
      </w:tblGrid>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积分赛</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7月23日13:00-18:00</w:t>
            </w:r>
          </w:p>
          <w:p>
            <w:pPr>
              <w:spacing w:before="120" w:after="120" w:line="288" w:lineRule="auto"/>
              <w:ind w:left="0"/>
              <w:jc w:val="center"/>
            </w:pPr>
            <w:r>
              <w:rPr>
                <w:rFonts w:eastAsia="等线" w:ascii="Arial" w:cs="Arial" w:hAnsi="Arial"/>
                <w:sz w:val="22"/>
              </w:rPr>
              <w:t>7月23日19:00-22:00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瑞士轮</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7月24日08:30-12:00</w:t>
            </w:r>
          </w:p>
          <w:p>
            <w:pPr>
              <w:spacing w:before="120" w:after="120" w:line="288" w:lineRule="auto"/>
              <w:ind w:left="0"/>
              <w:jc w:val="center"/>
            </w:pPr>
            <w:r>
              <w:rPr>
                <w:rFonts w:eastAsia="等线" w:ascii="Arial" w:cs="Arial" w:hAnsi="Arial"/>
                <w:sz w:val="22"/>
              </w:rPr>
              <w:t>7月24日13:00-18:00</w:t>
            </w:r>
          </w:p>
          <w:p>
            <w:pPr>
              <w:spacing w:before="120" w:after="120" w:line="288" w:lineRule="auto"/>
              <w:ind w:left="0"/>
              <w:jc w:val="center"/>
            </w:pPr>
            <w:r>
              <w:rPr>
                <w:rFonts w:eastAsia="等线" w:ascii="Arial" w:cs="Arial" w:hAnsi="Arial"/>
                <w:sz w:val="22"/>
              </w:rPr>
              <w:t>7月24日19:00-22:00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淘汰赛（16进8、8进4）</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7月25日08:30-12:00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半决赛</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7月25日14:00-15:00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总决赛</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7月25日15:00-16:00</w:t>
            </w:r>
          </w:p>
        </w:tc>
      </w:tr>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闭幕式</w:t>
            </w:r>
          </w:p>
        </w:tc>
        <w:tc>
          <w:tcPr>
            <w:tcW w:w="7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7月25日16:00-16:30</w:t>
            </w:r>
          </w:p>
        </w:tc>
      </w:tr>
    </w:tbl>
    <w:p>
      <w:pPr>
        <w:pStyle w:val="1"/>
        <w:spacing w:before="380" w:after="140" w:line="288" w:lineRule="auto"/>
        <w:ind w:left="0"/>
        <w:jc w:val="left"/>
        <w:outlineLvl w:val="0"/>
      </w:pPr>
      <w:bookmarkStart w:name="heading_25" w:id="25"/>
      <w:r>
        <w:rPr>
          <w:rFonts w:eastAsia="等线" w:ascii="Arial" w:cs="Arial" w:hAnsi="Arial"/>
          <w:color w:val="3370ff"/>
          <w:sz w:val="36"/>
        </w:rPr>
        <w:t xml:space="preserve">6. </w:t>
      </w:r>
      <w:r>
        <w:rPr>
          <w:rFonts w:eastAsia="等线" w:ascii="Arial" w:cs="Arial" w:hAnsi="Arial"/>
          <w:b w:val="true"/>
          <w:sz w:val="36"/>
        </w:rPr>
        <w:t>结语</w:t>
      </w:r>
      <w:bookmarkEnd w:id="25"/>
    </w:p>
    <w:p>
      <w:pPr>
        <w:numPr>
          <w:numId w:val="87"/>
        </w:numPr>
        <w:spacing w:before="120" w:after="120" w:line="288" w:lineRule="auto"/>
        <w:ind w:left="0"/>
        <w:jc w:val="left"/>
      </w:pPr>
      <w:r>
        <w:rPr>
          <w:rFonts w:eastAsia="等线" w:ascii="Arial" w:cs="Arial" w:hAnsi="Arial"/>
          <w:sz w:val="22"/>
        </w:rPr>
        <w:t>本次比赛的规则最终裁定与得分判罚的最终解释权归组委会所有，请各位参赛队员不要钻规则的漏洞和挑战规则的底线。预祝各位在比赛中获得好成绩。</w:t>
      </w:r>
    </w:p>
    <w:p>
      <w:pPr>
        <w:spacing w:before="120" w:after="120" w:line="288" w:lineRule="auto"/>
        <w:ind w:left="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16712">
    <w:lvl>
      <w:numFmt w:val="bullet"/>
      <w:suff w:val="tab"/>
      <w:lvlText w:val="•"/>
      <w:rPr>
        <w:color w:val="3370ff"/>
      </w:rPr>
    </w:lvl>
  </w:abstractNum>
  <w:abstractNum w:abstractNumId="716713">
    <w:lvl>
      <w:numFmt w:val="bullet"/>
      <w:suff w:val="tab"/>
      <w:lvlText w:val="•"/>
      <w:rPr>
        <w:color w:val="3370ff"/>
      </w:rPr>
    </w:lvl>
  </w:abstractNum>
  <w:abstractNum w:abstractNumId="716714">
    <w:lvl>
      <w:numFmt w:val="bullet"/>
      <w:suff w:val="tab"/>
      <w:lvlText w:val="•"/>
      <w:rPr>
        <w:color w:val="3370ff"/>
      </w:rPr>
    </w:lvl>
  </w:abstractNum>
  <w:abstractNum w:abstractNumId="716715">
    <w:lvl>
      <w:numFmt w:val="bullet"/>
      <w:suff w:val="tab"/>
      <w:lvlText w:val="•"/>
      <w:rPr>
        <w:color w:val="3370ff"/>
      </w:rPr>
    </w:lvl>
  </w:abstractNum>
  <w:abstractNum w:abstractNumId="716716">
    <w:lvl>
      <w:numFmt w:val="bullet"/>
      <w:suff w:val="tab"/>
      <w:lvlText w:val="•"/>
      <w:rPr>
        <w:color w:val="3370ff"/>
      </w:rPr>
    </w:lvl>
  </w:abstractNum>
  <w:abstractNum w:abstractNumId="716717">
    <w:lvl>
      <w:numFmt w:val="bullet"/>
      <w:suff w:val="tab"/>
      <w:lvlText w:val="•"/>
      <w:rPr>
        <w:color w:val="3370ff"/>
      </w:rPr>
    </w:lvl>
  </w:abstractNum>
  <w:abstractNum w:abstractNumId="716718">
    <w:lvl>
      <w:numFmt w:val="bullet"/>
      <w:suff w:val="tab"/>
      <w:lvlText w:val="•"/>
      <w:rPr>
        <w:color w:val="3370ff"/>
      </w:rPr>
    </w:lvl>
  </w:abstractNum>
  <w:abstractNum w:abstractNumId="716719">
    <w:lvl>
      <w:numFmt w:val="bullet"/>
      <w:suff w:val="tab"/>
      <w:lvlText w:val="•"/>
      <w:rPr>
        <w:color w:val="3370ff"/>
      </w:rPr>
    </w:lvl>
  </w:abstractNum>
  <w:abstractNum w:abstractNumId="716720">
    <w:lvl>
      <w:numFmt w:val="bullet"/>
      <w:suff w:val="tab"/>
      <w:lvlText w:val="•"/>
      <w:rPr>
        <w:color w:val="3370ff"/>
      </w:rPr>
    </w:lvl>
  </w:abstractNum>
  <w:abstractNum w:abstractNumId="716721">
    <w:lvl>
      <w:numFmt w:val="bullet"/>
      <w:suff w:val="tab"/>
      <w:lvlText w:val="•"/>
      <w:rPr>
        <w:color w:val="3370ff"/>
      </w:rPr>
    </w:lvl>
  </w:abstractNum>
  <w:abstractNum w:abstractNumId="716722">
    <w:lvl>
      <w:numFmt w:val="bullet"/>
      <w:suff w:val="tab"/>
      <w:lvlText w:val="•"/>
      <w:rPr>
        <w:color w:val="3370ff"/>
      </w:rPr>
    </w:lvl>
  </w:abstractNum>
  <w:abstractNum w:abstractNumId="716723">
    <w:lvl>
      <w:numFmt w:val="bullet"/>
      <w:suff w:val="tab"/>
      <w:lvlText w:val="•"/>
      <w:rPr>
        <w:color w:val="3370ff"/>
      </w:rPr>
    </w:lvl>
  </w:abstractNum>
  <w:abstractNum w:abstractNumId="716724">
    <w:lvl>
      <w:numFmt w:val="bullet"/>
      <w:suff w:val="tab"/>
      <w:lvlText w:val="•"/>
      <w:rPr>
        <w:color w:val="3370ff"/>
      </w:rPr>
    </w:lvl>
  </w:abstractNum>
  <w:abstractNum w:abstractNumId="716725">
    <w:lvl>
      <w:numFmt w:val="bullet"/>
      <w:suff w:val="tab"/>
      <w:lvlText w:val="•"/>
      <w:rPr>
        <w:color w:val="3370ff"/>
      </w:rPr>
    </w:lvl>
  </w:abstractNum>
  <w:abstractNum w:abstractNumId="716726">
    <w:lvl>
      <w:numFmt w:val="bullet"/>
      <w:suff w:val="tab"/>
      <w:lvlText w:val="•"/>
      <w:rPr>
        <w:color w:val="3370ff"/>
      </w:rPr>
    </w:lvl>
  </w:abstractNum>
  <w:abstractNum w:abstractNumId="716727">
    <w:lvl>
      <w:numFmt w:val="bullet"/>
      <w:suff w:val="tab"/>
      <w:lvlText w:val="•"/>
      <w:rPr>
        <w:color w:val="3370ff"/>
      </w:rPr>
    </w:lvl>
  </w:abstractNum>
  <w:abstractNum w:abstractNumId="716728">
    <w:lvl>
      <w:numFmt w:val="bullet"/>
      <w:suff w:val="tab"/>
      <w:lvlText w:val="•"/>
      <w:rPr>
        <w:color w:val="3370ff"/>
      </w:rPr>
    </w:lvl>
  </w:abstractNum>
  <w:abstractNum w:abstractNumId="716729">
    <w:lvl>
      <w:numFmt w:val="bullet"/>
      <w:suff w:val="tab"/>
      <w:lvlText w:val="•"/>
      <w:rPr>
        <w:color w:val="3370ff"/>
      </w:rPr>
    </w:lvl>
  </w:abstractNum>
  <w:abstractNum w:abstractNumId="716730">
    <w:lvl>
      <w:numFmt w:val="bullet"/>
      <w:suff w:val="tab"/>
      <w:lvlText w:val="•"/>
      <w:rPr>
        <w:color w:val="3370ff"/>
      </w:rPr>
    </w:lvl>
  </w:abstractNum>
  <w:abstractNum w:abstractNumId="716731">
    <w:lvl>
      <w:numFmt w:val="bullet"/>
      <w:suff w:val="tab"/>
      <w:lvlText w:val="•"/>
      <w:rPr>
        <w:color w:val="3370ff"/>
      </w:rPr>
    </w:lvl>
  </w:abstractNum>
  <w:abstractNum w:abstractNumId="716732">
    <w:lvl>
      <w:start w:val="1"/>
      <w:numFmt w:val="decimal"/>
      <w:suff w:val="tab"/>
      <w:lvlText w:val="%1."/>
      <w:rPr>
        <w:color w:val="3370ff"/>
      </w:rPr>
    </w:lvl>
  </w:abstractNum>
  <w:abstractNum w:abstractNumId="716733">
    <w:lvl>
      <w:numFmt w:val="bullet"/>
      <w:suff w:val="tab"/>
      <w:lvlText w:val="•"/>
      <w:rPr>
        <w:color w:val="3370ff"/>
      </w:rPr>
    </w:lvl>
  </w:abstractNum>
  <w:abstractNum w:abstractNumId="716734">
    <w:lvl>
      <w:numFmt w:val="bullet"/>
      <w:suff w:val="tab"/>
      <w:lvlText w:val="•"/>
      <w:rPr>
        <w:color w:val="3370ff"/>
      </w:rPr>
    </w:lvl>
  </w:abstractNum>
  <w:abstractNum w:abstractNumId="716735">
    <w:lvl>
      <w:numFmt w:val="bullet"/>
      <w:suff w:val="tab"/>
      <w:lvlText w:val="•"/>
      <w:rPr>
        <w:color w:val="3370ff"/>
      </w:rPr>
    </w:lvl>
  </w:abstractNum>
  <w:abstractNum w:abstractNumId="716736">
    <w:lvl>
      <w:numFmt w:val="bullet"/>
      <w:suff w:val="tab"/>
      <w:lvlText w:val="•"/>
      <w:rPr>
        <w:color w:val="3370ff"/>
      </w:rPr>
    </w:lvl>
  </w:abstractNum>
  <w:abstractNum w:abstractNumId="716737">
    <w:lvl>
      <w:numFmt w:val="bullet"/>
      <w:suff w:val="tab"/>
      <w:lvlText w:val="•"/>
      <w:rPr>
        <w:color w:val="3370ff"/>
      </w:rPr>
    </w:lvl>
  </w:abstractNum>
  <w:abstractNum w:abstractNumId="716738">
    <w:lvl>
      <w:start w:val="2"/>
      <w:numFmt w:val="decimal"/>
      <w:suff w:val="tab"/>
      <w:lvlText w:val="%1."/>
      <w:rPr>
        <w:color w:val="3370ff"/>
      </w:rPr>
    </w:lvl>
  </w:abstractNum>
  <w:abstractNum w:abstractNumId="716739">
    <w:lvl>
      <w:numFmt w:val="bullet"/>
      <w:suff w:val="tab"/>
      <w:lvlText w:val="•"/>
      <w:rPr>
        <w:color w:val="3370ff"/>
      </w:rPr>
    </w:lvl>
  </w:abstractNum>
  <w:abstractNum w:abstractNumId="716740">
    <w:lvl>
      <w:numFmt w:val="bullet"/>
      <w:suff w:val="tab"/>
      <w:lvlText w:val="•"/>
      <w:rPr>
        <w:color w:val="3370ff"/>
      </w:rPr>
    </w:lvl>
  </w:abstractNum>
  <w:abstractNum w:abstractNumId="716741">
    <w:lvl>
      <w:numFmt w:val="bullet"/>
      <w:suff w:val="tab"/>
      <w:lvlText w:val="•"/>
      <w:rPr>
        <w:color w:val="3370ff"/>
      </w:rPr>
    </w:lvl>
  </w:abstractNum>
  <w:abstractNum w:abstractNumId="716742">
    <w:lvl>
      <w:numFmt w:val="bullet"/>
      <w:suff w:val="tab"/>
      <w:lvlText w:val="•"/>
      <w:rPr>
        <w:color w:val="3370ff"/>
      </w:rPr>
    </w:lvl>
  </w:abstractNum>
  <w:abstractNum w:abstractNumId="716743">
    <w:lvl>
      <w:numFmt w:val="bullet"/>
      <w:suff w:val="tab"/>
      <w:lvlText w:val="•"/>
      <w:rPr>
        <w:color w:val="3370ff"/>
      </w:rPr>
    </w:lvl>
  </w:abstractNum>
  <w:abstractNum w:abstractNumId="716744">
    <w:lvl>
      <w:numFmt w:val="bullet"/>
      <w:suff w:val="tab"/>
      <w:lvlText w:val="•"/>
      <w:rPr>
        <w:color w:val="3370ff"/>
      </w:rPr>
    </w:lvl>
  </w:abstractNum>
  <w:abstractNum w:abstractNumId="716745">
    <w:lvl>
      <w:numFmt w:val="bullet"/>
      <w:suff w:val="tab"/>
      <w:lvlText w:val="•"/>
      <w:rPr>
        <w:color w:val="3370ff"/>
      </w:rPr>
    </w:lvl>
  </w:abstractNum>
  <w:abstractNum w:abstractNumId="716746">
    <w:lvl>
      <w:numFmt w:val="bullet"/>
      <w:suff w:val="tab"/>
      <w:lvlText w:val="•"/>
      <w:rPr>
        <w:color w:val="3370ff"/>
      </w:rPr>
    </w:lvl>
  </w:abstractNum>
  <w:abstractNum w:abstractNumId="716747">
    <w:lvl>
      <w:numFmt w:val="bullet"/>
      <w:suff w:val="tab"/>
      <w:lvlText w:val="•"/>
      <w:rPr>
        <w:color w:val="3370ff"/>
      </w:rPr>
    </w:lvl>
  </w:abstractNum>
  <w:abstractNum w:abstractNumId="716748">
    <w:lvl>
      <w:numFmt w:val="bullet"/>
      <w:suff w:val="tab"/>
      <w:lvlText w:val="•"/>
      <w:rPr>
        <w:color w:val="3370ff"/>
      </w:rPr>
    </w:lvl>
  </w:abstractNum>
  <w:abstractNum w:abstractNumId="716749">
    <w:lvl>
      <w:numFmt w:val="bullet"/>
      <w:suff w:val="tab"/>
      <w:lvlText w:val="•"/>
      <w:rPr>
        <w:color w:val="3370ff"/>
      </w:rPr>
    </w:lvl>
  </w:abstractNum>
  <w:abstractNum w:abstractNumId="716750">
    <w:lvl>
      <w:numFmt w:val="bullet"/>
      <w:suff w:val="tab"/>
      <w:lvlText w:val="•"/>
      <w:rPr>
        <w:color w:val="3370ff"/>
      </w:rPr>
    </w:lvl>
  </w:abstractNum>
  <w:abstractNum w:abstractNumId="716751">
    <w:lvl>
      <w:numFmt w:val="bullet"/>
      <w:suff w:val="tab"/>
      <w:lvlText w:val="•"/>
      <w:rPr>
        <w:color w:val="3370ff"/>
      </w:rPr>
    </w:lvl>
  </w:abstractNum>
  <w:abstractNum w:abstractNumId="716752">
    <w:lvl>
      <w:numFmt w:val="bullet"/>
      <w:suff w:val="tab"/>
      <w:lvlText w:val="•"/>
      <w:rPr>
        <w:color w:val="3370ff"/>
      </w:rPr>
    </w:lvl>
  </w:abstractNum>
  <w:abstractNum w:abstractNumId="716753">
    <w:lvl>
      <w:numFmt w:val="bullet"/>
      <w:suff w:val="tab"/>
      <w:lvlText w:val="•"/>
      <w:rPr>
        <w:color w:val="3370ff"/>
      </w:rPr>
    </w:lvl>
  </w:abstractNum>
  <w:abstractNum w:abstractNumId="716754">
    <w:lvl>
      <w:numFmt w:val="bullet"/>
      <w:suff w:val="tab"/>
      <w:lvlText w:val="•"/>
      <w:rPr>
        <w:color w:val="3370ff"/>
      </w:rPr>
    </w:lvl>
  </w:abstractNum>
  <w:abstractNum w:abstractNumId="716755">
    <w:lvl>
      <w:numFmt w:val="bullet"/>
      <w:suff w:val="tab"/>
      <w:lvlText w:val="•"/>
      <w:rPr>
        <w:color w:val="3370ff"/>
      </w:rPr>
    </w:lvl>
  </w:abstractNum>
  <w:abstractNum w:abstractNumId="716756">
    <w:lvl>
      <w:numFmt w:val="bullet"/>
      <w:suff w:val="tab"/>
      <w:lvlText w:val="•"/>
      <w:rPr>
        <w:color w:val="3370ff"/>
      </w:rPr>
    </w:lvl>
  </w:abstractNum>
  <w:abstractNum w:abstractNumId="716757">
    <w:lvl>
      <w:numFmt w:val="bullet"/>
      <w:suff w:val="tab"/>
      <w:lvlText w:val="•"/>
      <w:rPr>
        <w:color w:val="3370ff"/>
      </w:rPr>
    </w:lvl>
  </w:abstractNum>
  <w:abstractNum w:abstractNumId="716758">
    <w:lvl>
      <w:numFmt w:val="bullet"/>
      <w:suff w:val="tab"/>
      <w:lvlText w:val="•"/>
      <w:rPr>
        <w:color w:val="3370ff"/>
      </w:rPr>
    </w:lvl>
  </w:abstractNum>
  <w:abstractNum w:abstractNumId="716759">
    <w:lvl>
      <w:numFmt w:val="bullet"/>
      <w:suff w:val="tab"/>
      <w:lvlText w:val="•"/>
      <w:rPr>
        <w:color w:val="3370ff"/>
      </w:rPr>
    </w:lvl>
  </w:abstractNum>
  <w:abstractNum w:abstractNumId="716760">
    <w:lvl>
      <w:numFmt w:val="bullet"/>
      <w:suff w:val="tab"/>
      <w:lvlText w:val="•"/>
      <w:rPr>
        <w:color w:val="3370ff"/>
      </w:rPr>
    </w:lvl>
  </w:abstractNum>
  <w:abstractNum w:abstractNumId="716761">
    <w:lvl>
      <w:numFmt w:val="bullet"/>
      <w:suff w:val="tab"/>
      <w:lvlText w:val="•"/>
      <w:rPr>
        <w:color w:val="3370ff"/>
      </w:rPr>
    </w:lvl>
  </w:abstractNum>
  <w:abstractNum w:abstractNumId="716762">
    <w:lvl>
      <w:numFmt w:val="bullet"/>
      <w:suff w:val="tab"/>
      <w:lvlText w:val="•"/>
      <w:rPr>
        <w:color w:val="3370ff"/>
      </w:rPr>
    </w:lvl>
  </w:abstractNum>
  <w:abstractNum w:abstractNumId="716763">
    <w:lvl>
      <w:numFmt w:val="bullet"/>
      <w:suff w:val="tab"/>
      <w:lvlText w:val="•"/>
      <w:rPr>
        <w:color w:val="3370ff"/>
      </w:rPr>
    </w:lvl>
  </w:abstractNum>
  <w:abstractNum w:abstractNumId="716764">
    <w:lvl>
      <w:numFmt w:val="bullet"/>
      <w:suff w:val="tab"/>
      <w:lvlText w:val="•"/>
      <w:rPr>
        <w:color w:val="3370ff"/>
      </w:rPr>
    </w:lvl>
  </w:abstractNum>
  <w:abstractNum w:abstractNumId="716765">
    <w:lvl>
      <w:numFmt w:val="bullet"/>
      <w:suff w:val="tab"/>
      <w:lvlText w:val="•"/>
      <w:rPr>
        <w:color w:val="3370ff"/>
      </w:rPr>
    </w:lvl>
  </w:abstractNum>
  <w:abstractNum w:abstractNumId="716766">
    <w:lvl>
      <w:numFmt w:val="bullet"/>
      <w:suff w:val="tab"/>
      <w:lvlText w:val="•"/>
      <w:rPr>
        <w:color w:val="3370ff"/>
      </w:rPr>
    </w:lvl>
  </w:abstractNum>
  <w:abstractNum w:abstractNumId="716767">
    <w:lvl>
      <w:numFmt w:val="bullet"/>
      <w:suff w:val="tab"/>
      <w:lvlText w:val="•"/>
      <w:rPr>
        <w:color w:val="3370ff"/>
      </w:rPr>
    </w:lvl>
  </w:abstractNum>
  <w:abstractNum w:abstractNumId="716768">
    <w:lvl>
      <w:numFmt w:val="bullet"/>
      <w:suff w:val="tab"/>
      <w:lvlText w:val="•"/>
      <w:rPr>
        <w:color w:val="3370ff"/>
      </w:rPr>
    </w:lvl>
  </w:abstractNum>
  <w:abstractNum w:abstractNumId="716769">
    <w:lvl>
      <w:numFmt w:val="bullet"/>
      <w:suff w:val="tab"/>
      <w:lvlText w:val="•"/>
      <w:rPr>
        <w:color w:val="3370ff"/>
      </w:rPr>
    </w:lvl>
  </w:abstractNum>
  <w:abstractNum w:abstractNumId="716770">
    <w:lvl>
      <w:numFmt w:val="bullet"/>
      <w:suff w:val="tab"/>
      <w:lvlText w:val="•"/>
      <w:rPr>
        <w:color w:val="3370ff"/>
      </w:rPr>
    </w:lvl>
  </w:abstractNum>
  <w:abstractNum w:abstractNumId="716771">
    <w:lvl>
      <w:start w:val="1"/>
      <w:numFmt w:val="lowerLetter"/>
      <w:suff w:val="tab"/>
      <w:lvlText w:val="%1."/>
      <w:rPr>
        <w:color w:val="3370ff"/>
      </w:rPr>
    </w:lvl>
  </w:abstractNum>
  <w:abstractNum w:abstractNumId="716772">
    <w:lvl>
      <w:start w:val="1"/>
      <w:numFmt w:val="lowerRoman"/>
      <w:suff w:val="tab"/>
      <w:lvlText w:val="%1."/>
      <w:rPr>
        <w:color w:val="3370ff"/>
      </w:rPr>
    </w:lvl>
  </w:abstractNum>
  <w:abstractNum w:abstractNumId="716773">
    <w:lvl>
      <w:start w:val="2"/>
      <w:numFmt w:val="lowerRoman"/>
      <w:suff w:val="tab"/>
      <w:lvlText w:val="%1."/>
      <w:rPr>
        <w:color w:val="3370ff"/>
      </w:rPr>
    </w:lvl>
  </w:abstractNum>
  <w:abstractNum w:abstractNumId="716774">
    <w:lvl>
      <w:start w:val="3"/>
      <w:numFmt w:val="lowerRoman"/>
      <w:suff w:val="tab"/>
      <w:lvlText w:val="%1."/>
      <w:rPr>
        <w:color w:val="3370ff"/>
      </w:rPr>
    </w:lvl>
  </w:abstractNum>
  <w:abstractNum w:abstractNumId="716775">
    <w:lvl>
      <w:start w:val="4"/>
      <w:numFmt w:val="lowerRoman"/>
      <w:suff w:val="tab"/>
      <w:lvlText w:val="%1."/>
      <w:rPr>
        <w:color w:val="3370ff"/>
      </w:rPr>
    </w:lvl>
  </w:abstractNum>
  <w:abstractNum w:abstractNumId="716776">
    <w:lvl>
      <w:start w:val="5"/>
      <w:numFmt w:val="lowerRoman"/>
      <w:suff w:val="tab"/>
      <w:lvlText w:val="%1."/>
      <w:rPr>
        <w:color w:val="3370ff"/>
      </w:rPr>
    </w:lvl>
  </w:abstractNum>
  <w:abstractNum w:abstractNumId="716777">
    <w:lvl>
      <w:start w:val="6"/>
      <w:numFmt w:val="lowerRoman"/>
      <w:suff w:val="tab"/>
      <w:lvlText w:val="%1."/>
      <w:rPr>
        <w:color w:val="3370ff"/>
      </w:rPr>
    </w:lvl>
  </w:abstractNum>
  <w:abstractNum w:abstractNumId="716778">
    <w:lvl>
      <w:start w:val="1"/>
      <w:numFmt w:val="decimal"/>
      <w:suff w:val="tab"/>
      <w:lvlText w:val="%1."/>
      <w:rPr>
        <w:color w:val="3370ff"/>
      </w:rPr>
    </w:lvl>
  </w:abstractNum>
  <w:abstractNum w:abstractNumId="716779">
    <w:lvl>
      <w:start w:val="2"/>
      <w:numFmt w:val="decimal"/>
      <w:suff w:val="tab"/>
      <w:lvlText w:val="%1."/>
      <w:rPr>
        <w:color w:val="3370ff"/>
      </w:rPr>
    </w:lvl>
  </w:abstractNum>
  <w:abstractNum w:abstractNumId="716780">
    <w:lvl>
      <w:start w:val="3"/>
      <w:numFmt w:val="decimal"/>
      <w:suff w:val="tab"/>
      <w:lvlText w:val="%1."/>
      <w:rPr>
        <w:color w:val="3370ff"/>
      </w:rPr>
    </w:lvl>
  </w:abstractNum>
  <w:abstractNum w:abstractNumId="716781">
    <w:lvl>
      <w:start w:val="4"/>
      <w:numFmt w:val="decimal"/>
      <w:suff w:val="tab"/>
      <w:lvlText w:val="%1."/>
      <w:rPr>
        <w:color w:val="3370ff"/>
      </w:rPr>
    </w:lvl>
  </w:abstractNum>
  <w:abstractNum w:abstractNumId="716782">
    <w:lvl>
      <w:start w:val="1"/>
      <w:numFmt w:val="lowerLetter"/>
      <w:suff w:val="tab"/>
      <w:lvlText w:val="%1."/>
      <w:rPr>
        <w:color w:val="3370ff"/>
      </w:rPr>
    </w:lvl>
  </w:abstractNum>
  <w:abstractNum w:abstractNumId="716783">
    <w:lvl>
      <w:start w:val="2"/>
      <w:numFmt w:val="lowerLetter"/>
      <w:suff w:val="tab"/>
      <w:lvlText w:val="%1."/>
      <w:rPr>
        <w:color w:val="3370ff"/>
      </w:rPr>
    </w:lvl>
  </w:abstractNum>
  <w:abstractNum w:abstractNumId="716784">
    <w:lvl>
      <w:start w:val="3"/>
      <w:numFmt w:val="lowerLetter"/>
      <w:suff w:val="tab"/>
      <w:lvlText w:val="%1."/>
      <w:rPr>
        <w:color w:val="3370ff"/>
      </w:rPr>
    </w:lvl>
  </w:abstractNum>
  <w:abstractNum w:abstractNumId="716785">
    <w:lvl>
      <w:start w:val="1"/>
      <w:numFmt w:val="decimal"/>
      <w:suff w:val="tab"/>
      <w:lvlText w:val="%1."/>
      <w:rPr>
        <w:color w:val="3370ff"/>
      </w:rPr>
    </w:lvl>
  </w:abstractNum>
  <w:abstractNum w:abstractNumId="716786">
    <w:lvl>
      <w:start w:val="2"/>
      <w:numFmt w:val="decimal"/>
      <w:suff w:val="tab"/>
      <w:lvlText w:val="%1."/>
      <w:rPr>
        <w:color w:val="3370ff"/>
      </w:rPr>
    </w:lvl>
  </w:abstractNum>
  <w:abstractNum w:abstractNumId="716787">
    <w:lvl>
      <w:start w:val="3"/>
      <w:numFmt w:val="decimal"/>
      <w:suff w:val="tab"/>
      <w:lvlText w:val="%1."/>
      <w:rPr>
        <w:color w:val="3370ff"/>
      </w:rPr>
    </w:lvl>
  </w:abstractNum>
  <w:abstractNum w:abstractNumId="716788">
    <w:lvl>
      <w:start w:val="4"/>
      <w:numFmt w:val="decimal"/>
      <w:suff w:val="tab"/>
      <w:lvlText w:val="%1."/>
      <w:rPr>
        <w:color w:val="3370ff"/>
      </w:rPr>
    </w:lvl>
  </w:abstractNum>
  <w:abstractNum w:abstractNumId="716789">
    <w:lvl>
      <w:start w:val="5"/>
      <w:numFmt w:val="decimal"/>
      <w:suff w:val="tab"/>
      <w:lvlText w:val="%1."/>
      <w:rPr>
        <w:color w:val="3370ff"/>
      </w:rPr>
    </w:lvl>
  </w:abstractNum>
  <w:abstractNum w:abstractNumId="716790">
    <w:lvl>
      <w:start w:val="1"/>
      <w:numFmt w:val="lowerLetter"/>
      <w:suff w:val="tab"/>
      <w:lvlText w:val="%1."/>
      <w:rPr>
        <w:color w:val="3370ff"/>
      </w:rPr>
    </w:lvl>
  </w:abstractNum>
  <w:abstractNum w:abstractNumId="716791">
    <w:lvl>
      <w:start w:val="2"/>
      <w:numFmt w:val="lowerLetter"/>
      <w:suff w:val="tab"/>
      <w:lvlText w:val="%1."/>
      <w:rPr>
        <w:color w:val="3370ff"/>
      </w:rPr>
    </w:lvl>
  </w:abstractNum>
  <w:abstractNum w:abstractNumId="716792">
    <w:lvl>
      <w:start w:val="3"/>
      <w:numFmt w:val="lowerLetter"/>
      <w:suff w:val="tab"/>
      <w:lvlText w:val="%1."/>
      <w:rPr>
        <w:color w:val="3370ff"/>
      </w:rPr>
    </w:lvl>
  </w:abstractNum>
  <w:abstractNum w:abstractNumId="716793">
    <w:lvl>
      <w:start w:val="4"/>
      <w:numFmt w:val="lowerLetter"/>
      <w:suff w:val="tab"/>
      <w:lvlText w:val="%1."/>
      <w:rPr>
        <w:color w:val="3370ff"/>
      </w:rPr>
    </w:lvl>
  </w:abstractNum>
  <w:abstractNum w:abstractNumId="716794">
    <w:lvl>
      <w:start w:val="7"/>
      <w:numFmt w:val="lowerRoman"/>
      <w:suff w:val="tab"/>
      <w:lvlText w:val="%1."/>
      <w:rPr>
        <w:color w:val="3370ff"/>
      </w:rPr>
    </w:lvl>
  </w:abstractNum>
  <w:abstractNum w:abstractNumId="716795">
    <w:lvl>
      <w:start w:val="8"/>
      <w:numFmt w:val="lowerRoman"/>
      <w:suff w:val="tab"/>
      <w:lvlText w:val="%1."/>
      <w:rPr>
        <w:color w:val="3370ff"/>
      </w:rPr>
    </w:lvl>
  </w:abstractNum>
  <w:abstractNum w:abstractNumId="716796">
    <w:lvl>
      <w:start w:val="1"/>
      <w:numFmt w:val="lowerLetter"/>
      <w:suff w:val="tab"/>
      <w:lvlText w:val="%1."/>
      <w:rPr>
        <w:color w:val="3370ff"/>
      </w:rPr>
    </w:lvl>
  </w:abstractNum>
  <w:abstractNum w:abstractNumId="716797">
    <w:lvl>
      <w:start w:val="2"/>
      <w:numFmt w:val="lowerLetter"/>
      <w:suff w:val="tab"/>
      <w:lvlText w:val="%1."/>
      <w:rPr>
        <w:color w:val="3370ff"/>
      </w:rPr>
    </w:lvl>
  </w:abstractNum>
  <w:abstractNum w:abstractNumId="716798">
    <w:lvl>
      <w:numFmt w:val="bullet"/>
      <w:suff w:val="tab"/>
      <w:lvlText w:val="•"/>
      <w:rPr>
        <w:color w:val="3370ff"/>
      </w:rPr>
    </w:lvl>
  </w:abstractNum>
  <w:num w:numId="1">
    <w:abstractNumId w:val="716712"/>
  </w:num>
  <w:num w:numId="2">
    <w:abstractNumId w:val="716713"/>
  </w:num>
  <w:num w:numId="3">
    <w:abstractNumId w:val="716714"/>
  </w:num>
  <w:num w:numId="4">
    <w:abstractNumId w:val="716715"/>
  </w:num>
  <w:num w:numId="5">
    <w:abstractNumId w:val="716716"/>
  </w:num>
  <w:num w:numId="6">
    <w:abstractNumId w:val="716717"/>
  </w:num>
  <w:num w:numId="7">
    <w:abstractNumId w:val="716718"/>
  </w:num>
  <w:num w:numId="8">
    <w:abstractNumId w:val="716719"/>
  </w:num>
  <w:num w:numId="9">
    <w:abstractNumId w:val="716720"/>
  </w:num>
  <w:num w:numId="10">
    <w:abstractNumId w:val="716721"/>
  </w:num>
  <w:num w:numId="11">
    <w:abstractNumId w:val="716722"/>
  </w:num>
  <w:num w:numId="12">
    <w:abstractNumId w:val="716723"/>
  </w:num>
  <w:num w:numId="13">
    <w:abstractNumId w:val="716724"/>
  </w:num>
  <w:num w:numId="14">
    <w:abstractNumId w:val="716725"/>
  </w:num>
  <w:num w:numId="15">
    <w:abstractNumId w:val="716726"/>
  </w:num>
  <w:num w:numId="16">
    <w:abstractNumId w:val="716727"/>
  </w:num>
  <w:num w:numId="17">
    <w:abstractNumId w:val="716728"/>
  </w:num>
  <w:num w:numId="18">
    <w:abstractNumId w:val="716729"/>
  </w:num>
  <w:num w:numId="19">
    <w:abstractNumId w:val="716730"/>
  </w:num>
  <w:num w:numId="20">
    <w:abstractNumId w:val="716731"/>
  </w:num>
  <w:num w:numId="21">
    <w:abstractNumId w:val="716732"/>
  </w:num>
  <w:num w:numId="22">
    <w:abstractNumId w:val="716733"/>
  </w:num>
  <w:num w:numId="23">
    <w:abstractNumId w:val="716734"/>
  </w:num>
  <w:num w:numId="24">
    <w:abstractNumId w:val="716735"/>
  </w:num>
  <w:num w:numId="25">
    <w:abstractNumId w:val="716736"/>
  </w:num>
  <w:num w:numId="26">
    <w:abstractNumId w:val="716737"/>
  </w:num>
  <w:num w:numId="27">
    <w:abstractNumId w:val="716738"/>
  </w:num>
  <w:num w:numId="28">
    <w:abstractNumId w:val="716739"/>
  </w:num>
  <w:num w:numId="29">
    <w:abstractNumId w:val="716740"/>
  </w:num>
  <w:num w:numId="30">
    <w:abstractNumId w:val="716741"/>
  </w:num>
  <w:num w:numId="31">
    <w:abstractNumId w:val="716742"/>
  </w:num>
  <w:num w:numId="32">
    <w:abstractNumId w:val="716743"/>
  </w:num>
  <w:num w:numId="33">
    <w:abstractNumId w:val="716744"/>
  </w:num>
  <w:num w:numId="34">
    <w:abstractNumId w:val="716745"/>
  </w:num>
  <w:num w:numId="35">
    <w:abstractNumId w:val="716746"/>
  </w:num>
  <w:num w:numId="36">
    <w:abstractNumId w:val="716747"/>
  </w:num>
  <w:num w:numId="37">
    <w:abstractNumId w:val="716748"/>
  </w:num>
  <w:num w:numId="38">
    <w:abstractNumId w:val="716749"/>
  </w:num>
  <w:num w:numId="39">
    <w:abstractNumId w:val="716750"/>
  </w:num>
  <w:num w:numId="40">
    <w:abstractNumId w:val="716751"/>
  </w:num>
  <w:num w:numId="41">
    <w:abstractNumId w:val="716752"/>
  </w:num>
  <w:num w:numId="42">
    <w:abstractNumId w:val="716753"/>
  </w:num>
  <w:num w:numId="43">
    <w:abstractNumId w:val="716754"/>
  </w:num>
  <w:num w:numId="44">
    <w:abstractNumId w:val="716755"/>
  </w:num>
  <w:num w:numId="45">
    <w:abstractNumId w:val="716756"/>
  </w:num>
  <w:num w:numId="46">
    <w:abstractNumId w:val="716757"/>
  </w:num>
  <w:num w:numId="47">
    <w:abstractNumId w:val="716758"/>
  </w:num>
  <w:num w:numId="48">
    <w:abstractNumId w:val="716759"/>
  </w:num>
  <w:num w:numId="49">
    <w:abstractNumId w:val="716760"/>
  </w:num>
  <w:num w:numId="50">
    <w:abstractNumId w:val="716761"/>
  </w:num>
  <w:num w:numId="51">
    <w:abstractNumId w:val="716762"/>
  </w:num>
  <w:num w:numId="52">
    <w:abstractNumId w:val="716763"/>
  </w:num>
  <w:num w:numId="53">
    <w:abstractNumId w:val="716764"/>
  </w:num>
  <w:num w:numId="54">
    <w:abstractNumId w:val="716765"/>
  </w:num>
  <w:num w:numId="55">
    <w:abstractNumId w:val="716766"/>
  </w:num>
  <w:num w:numId="56">
    <w:abstractNumId w:val="716767"/>
  </w:num>
  <w:num w:numId="57">
    <w:abstractNumId w:val="716768"/>
  </w:num>
  <w:num w:numId="58">
    <w:abstractNumId w:val="716769"/>
  </w:num>
  <w:num w:numId="59">
    <w:abstractNumId w:val="716770"/>
  </w:num>
  <w:num w:numId="60">
    <w:abstractNumId w:val="716771"/>
  </w:num>
  <w:num w:numId="61">
    <w:abstractNumId w:val="716772"/>
  </w:num>
  <w:num w:numId="62">
    <w:abstractNumId w:val="716773"/>
  </w:num>
  <w:num w:numId="63">
    <w:abstractNumId w:val="716774"/>
  </w:num>
  <w:num w:numId="64">
    <w:abstractNumId w:val="716775"/>
  </w:num>
  <w:num w:numId="65">
    <w:abstractNumId w:val="716776"/>
  </w:num>
  <w:num w:numId="66">
    <w:abstractNumId w:val="716777"/>
  </w:num>
  <w:num w:numId="67">
    <w:abstractNumId w:val="716778"/>
  </w:num>
  <w:num w:numId="68">
    <w:abstractNumId w:val="716779"/>
  </w:num>
  <w:num w:numId="69">
    <w:abstractNumId w:val="716780"/>
  </w:num>
  <w:num w:numId="70">
    <w:abstractNumId w:val="716781"/>
  </w:num>
  <w:num w:numId="71">
    <w:abstractNumId w:val="716782"/>
  </w:num>
  <w:num w:numId="72">
    <w:abstractNumId w:val="716783"/>
  </w:num>
  <w:num w:numId="73">
    <w:abstractNumId w:val="716784"/>
  </w:num>
  <w:num w:numId="74">
    <w:abstractNumId w:val="716785"/>
  </w:num>
  <w:num w:numId="75">
    <w:abstractNumId w:val="716786"/>
  </w:num>
  <w:num w:numId="76">
    <w:abstractNumId w:val="716787"/>
  </w:num>
  <w:num w:numId="77">
    <w:abstractNumId w:val="716788"/>
  </w:num>
  <w:num w:numId="78">
    <w:abstractNumId w:val="716789"/>
  </w:num>
  <w:num w:numId="79">
    <w:abstractNumId w:val="716790"/>
  </w:num>
  <w:num w:numId="80">
    <w:abstractNumId w:val="716791"/>
  </w:num>
  <w:num w:numId="81">
    <w:abstractNumId w:val="716792"/>
  </w:num>
  <w:num w:numId="82">
    <w:abstractNumId w:val="716793"/>
  </w:num>
  <w:num w:numId="83">
    <w:abstractNumId w:val="716794"/>
  </w:num>
  <w:num w:numId="84">
    <w:abstractNumId w:val="716795"/>
  </w:num>
  <w:num w:numId="85">
    <w:abstractNumId w:val="716796"/>
  </w:num>
  <w:num w:numId="86">
    <w:abstractNumId w:val="716797"/>
  </w:num>
  <w:num w:numId="87">
    <w:abstractNumId w:val="7167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bnmp7m19gb.feishu.cn/wiki/YZCBwylkCiDc8Hkc0IFckmFHn4e#share-SyPnd1iMlotsIdxPsiycOiprneb" TargetMode="External" Type="http://schemas.openxmlformats.org/officeDocument/2006/relationships/hyperlink"/><Relationship Id="rId11" Target="https://bnmp7m19gb.feishu.cn/wiki/YZCBwylkCiDc8Hkc0IFckmFHn4e#share-KA2AdZRSfoqUy5xI9AQcDAHonKb" TargetMode="External" Type="http://schemas.openxmlformats.org/officeDocument/2006/relationships/hyperlink"/><Relationship Id="rId12" Target="https://bnmp7m19gb.feishu.cn/wiki/YZCBwylkCiDc8Hkc0IFckmFHn4e#share-STvvd7nRioMjyMxoA9XcFHm3nnJ" TargetMode="External" Type="http://schemas.openxmlformats.org/officeDocument/2006/relationships/hyperlink"/><Relationship Id="rId13" Target="https://bnmp7m19gb.feishu.cn/wiki/YZCBwylkCiDc8Hkc0IFckmFHn4e#share-AL6kdxtwGov4DNxsy3ncYmCCnQg" TargetMode="External" Type="http://schemas.openxmlformats.org/officeDocument/2006/relationships/hyperlink"/><Relationship Id="rId14" Target="https://bnmp7m19gb.feishu.cn/wiki/YZCBwylkCiDc8Hkc0IFckmFHn4e#share-SQQrdFwbmo4K5nx0DC9cIP8NnWf" TargetMode="External" Type="http://schemas.openxmlformats.org/officeDocument/2006/relationships/hyperlink"/><Relationship Id="rId15" Target="https://bnmp7m19gb.feishu.cn/wiki/YZCBwylkCiDc8Hkc0IFckmFHn4e#share-U3imdYQ6Xof8A8xWWewcMlHXn2e" TargetMode="External" Type="http://schemas.openxmlformats.org/officeDocument/2006/relationships/hyperlink"/><Relationship Id="rId16" Target="https://bnmp7m19gb.feishu.cn/wiki/YZCBwylkCiDc8Hkc0IFckmFHn4e#share-HLUtdbR9OoM8nXxlyUDciAranKe" TargetMode="External" Type="http://schemas.openxmlformats.org/officeDocument/2006/relationships/hyperlink"/><Relationship Id="rId17" Target="https://bnmp7m19gb.feishu.cn/wiki/YZCBwylkCiDc8Hkc0IFckmFHn4e#share-MPZYd9CZvonkXKxNLObcEESxnJc" TargetMode="External" Type="http://schemas.openxmlformats.org/officeDocument/2006/relationships/hyperlink"/><Relationship Id="rId18" Target="numbering.xml" Type="http://schemas.openxmlformats.org/officeDocument/2006/relationships/numbering"/><Relationship Id="rId19" Target="media/image1.png" Type="http://schemas.openxmlformats.org/officeDocument/2006/relationships/image"/><Relationship Id="rId2" Target="styles.xml" Type="http://schemas.openxmlformats.org/officeDocument/2006/relationships/styles"/><Relationship Id="rId20" Target="media/image2.jpe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https://bnmp7m19gb.feishu.cn/wiki/YZCBwylkCiDc8Hkc0IFckmFHn4e#share-N682dZK9GoUMTyxPY7gc0SFfncF" TargetMode="External" Type="http://schemas.openxmlformats.org/officeDocument/2006/relationships/hyperlink"/><Relationship Id="rId5" Target="https://bnmp7m19gb.feishu.cn/wiki/YZCBwylkCiDc8Hkc0IFckmFHn4e#share-QoZJdAR0fomJlrx0HITcpCcgnmh" TargetMode="External" Type="http://schemas.openxmlformats.org/officeDocument/2006/relationships/hyperlink"/><Relationship Id="rId6" Target="https://bnmp7m19gb.feishu.cn/wiki/YZCBwylkCiDc8Hkc0IFckmFHn4e#share-VqNld57XxoRLxkx1NKOc11Kpnod" TargetMode="External" Type="http://schemas.openxmlformats.org/officeDocument/2006/relationships/hyperlink"/><Relationship Id="rId7" Target="https://bnmp7m19gb.feishu.cn/wiki/YZCBwylkCiDc8Hkc0IFckmFHn4e#share-FZf6d4OP7oEIhVx0EKOcDqeHnIe" TargetMode="External" Type="http://schemas.openxmlformats.org/officeDocument/2006/relationships/hyperlink"/><Relationship Id="rId8" Target="https://bnmp7m19gb.feishu.cn/wiki/YZCBwylkCiDc8Hkc0IFckmFHn4e#share-L91Qd99SIonInxxotqocFE7tnsc" TargetMode="External" Type="http://schemas.openxmlformats.org/officeDocument/2006/relationships/hyperlink"/><Relationship Id="rId9" Target="https://bnmp7m19gb.feishu.cn/wiki/YZCBwylkCiDc8Hkc0IFckmFHn4e#share-SGTJdgf5Ookpz6x1pqkcMLBgnUg"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2026-07-23T03:14:31Z</dcterms:created>
  <dc:creator>Apache POI</dc:creator>
</cp:coreProperties>
</file>