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Note: Model Evaluation Trade-offs and Platform Convergence (2026-05-05)</w:t>
      </w:r>
    </w:p>
    <w:p>
      <w:r>
        <w:t>The day split between two architectural problems: validating model configurations for clinical automation and designing federated access to a next-generation data platform. Both surfaced the same underlying tension between operational stability and the pace of capability delivery. A senior stakeholder questioned the lack of user-facing features in upcoming releases while the teams worked through timeout rate discrepancies and enclave provisioning workflows.</w:t>
      </w:r>
    </w:p>
    <w:p>
      <w:pPr>
        <w:pStyle w:val="Heading1"/>
      </w:pPr>
      <w:r>
        <w:t>The Work</w:t>
      </w:r>
    </w:p>
    <w:p>
      <w:pPr>
        <w:pStyle w:val="Heading2"/>
      </w:pPr>
      <w:r>
        <w:t>Clinical Automation Evaluation</w:t>
      </w:r>
    </w:p>
    <w:p>
      <w:r>
        <w:t>The weekly roadmap sync reviewed model evaluation results comparing two variants for radiology automation. One variant demonstrated approximately double the latency of the other. This latency difference matters in clinical workflows where radiologists expect sub-second response times. The team approved proceeding with a configuration update to use the newer model variant.</w:t>
      </w:r>
    </w:p>
    <w:p>
      <w:r>
        <w:t>A separate automation showed a 70% timeout rate in evaluation data, which did not align with reported production behavior. The discrepancy requires investigation of production logs to determine actual timeout rates. This pattern of evaluation-production divergence appears in the medical AI literature as a persistent challenge. Zhou et al. documented in their 2024 survey that performance gaps between controlled evaluation and real-world deployment remain a primary obstacle to clinical LLM adoption.</w:t>
      </w:r>
    </w:p>
    <w:p>
      <w:r>
        <w:t>The coronary artery calcium project achieved 93% accuracy in identifying findings from radiology reports. Transfusion automation confirmed a May 13 go-live target. Low-value lab testing automation remains on hold due to alert firing rates at 10% of pilot levels, pending investigation of flowsheet data availability.</w:t>
      </w:r>
    </w:p>
    <w:p>
      <w:r>
        <w:t>Chunking and context handling approaches for large payloads were discussed and the current design was approved with enhancements added to backlog. Context window management is a recurring theme in medical AI systems. The MIRAGE benchmark introduced by Xiong et al. demonstrated that retrieval-augmented generation can improve medical LLM accuracy by up to 18%, but requires careful tuning of retrieval parameters and context assembly.</w:t>
      </w:r>
    </w:p>
    <w:p>
      <w:pPr>
        <w:pStyle w:val="Heading2"/>
      </w:pPr>
      <w:r>
        <w:t>Data Platform Architecture</w:t>
      </w:r>
    </w:p>
    <w:p>
      <w:r>
        <w:t>The architecture working session presented a next-generation data platform moving from pilot to production implementation with finance data first. The platform functions as a logical gateway to multi-modal data across clinical, operational, financial, and research domains.</w:t>
      </w:r>
    </w:p>
    <w:p>
      <w:r>
        <w:t>Enclave provisioning uses automated terraform pipelines with approval processes. The consumer usage lifecycle covers authentication, data browsing, and enclave expiry management. A consulting partner is assisting with implementation and knowledge transfer before transitioning to internal staff.</w:t>
      </w:r>
    </w:p>
    <w:p>
      <w:r>
        <w:t>A legacy vendor is being phased out due to changing business model and support issues. Questions arose about self-service data onboarding capabilities within enclaves and potential overlap with an existing research platform. The team identified a need for guidance on which platform to use for different use cases, particularly where IRB workflows intersect with enclave provisioning.</w:t>
      </w:r>
    </w:p>
    <w:p>
      <w:r>
        <w:t>This federated approach aligns with patterns documented in the Trusted Exchange Framework and Common Agreement (TEFCA), which establishes a universal floor for interoperability through standardized technical and legal requirements. The data platform similarly aims to reduce costs by eliminating the need for multiple network memberships while strengthening privacy through common requirements.</w:t>
      </w:r>
    </w:p>
    <w:p>
      <w:pPr>
        <w:pStyle w:val="Heading1"/>
      </w:pPr>
      <w:r>
        <w:t>Patterns and Frameworks</w:t>
      </w:r>
    </w:p>
    <w:p>
      <w:r>
        <w:t>The model evaluation challenges discussed align with benchmarks documented in recent literature. Singhal et al. demonstrated with Med-PaLM 2 that medical question-answering systems can achieve physician-level performance (86.5% on MedQA), but emphasized the importance of clinical evaluation beyond accuracy metrics. The team's investigation of timeout rate discrepancies reflects this principle: raw accuracy numbers tell an incomplete story without understanding latency and reliability characteristics in production.</w:t>
      </w:r>
    </w:p>
    <w:p>
      <w:r>
        <w:t>The MIRAGE framework from Xiong et al. provides a structured approach to evaluating retrieval-augmented generation in medical contexts, testing 41 different system configurations across 7,663 questions. This systematic approach to configuration comparison mirrors the team's process of evaluating model variants before deployment.</w:t>
      </w:r>
    </w:p>
    <w:p>
      <w:r>
        <w:t>For the data platform, TEFCA's three-tier structure (Common Agreement, Trusted Exchange Framework, QHIN Technical Framework) offers a reference model for the organization's own governance design. The emphasis on federated governance with local domain ownership while maintaining centralized standards appears in both approaches.</w:t>
      </w:r>
    </w:p>
    <w:p>
      <w:pPr>
        <w:pStyle w:val="Heading1"/>
      </w:pPr>
      <w:r>
        <w:t>Decisions and Open Items</w:t>
      </w:r>
    </w:p>
    <w:p>
      <w:r>
        <w:rPr>
          <w:b/>
        </w:rPr>
        <w:t>Decisions:</w:t>
      </w:r>
    </w:p>
    <w:p>
      <w:pPr>
        <w:pStyle w:val="ListBullet"/>
      </w:pPr>
      <w:r>
        <w:t>Model update for radiology automation proceeding with newer variant configuration</w:t>
      </w:r>
    </w:p>
    <w:p>
      <w:pPr>
        <w:pStyle w:val="ListBullet"/>
      </w:pPr>
      <w:r>
        <w:t>Transfusion automation targeting May 13 go-live</w:t>
      </w:r>
    </w:p>
    <w:p>
      <w:pPr>
        <w:pStyle w:val="ListBullet"/>
      </w:pPr>
      <w:r>
        <w:t>Low-value lab automation on hold pending alert rate investigation</w:t>
      </w:r>
    </w:p>
    <w:p>
      <w:pPr>
        <w:pStyle w:val="ListBullet"/>
      </w:pPr>
      <w:r>
        <w:t>Current chunking design approved with enhancements backlogged</w:t>
      </w:r>
    </w:p>
    <w:p>
      <w:pPr>
        <w:pStyle w:val="ListBullet"/>
      </w:pPr>
      <w:r>
        <w:t>Four value assessments in good state, targeting review in two to three weeks</w:t>
      </w:r>
    </w:p>
    <w:p>
      <w:r>
        <w:rPr>
          <w:b/>
        </w:rPr>
        <w:t>Open Items:</w:t>
      </w:r>
    </w:p>
    <w:p>
      <w:pPr>
        <w:pStyle w:val="ListBullet"/>
      </w:pPr>
      <w:r>
        <w:t>Production logs needed to investigate 70% evaluation timeout rate discrepancy</w:t>
      </w:r>
    </w:p>
    <w:p>
      <w:pPr>
        <w:pStyle w:val="ListBullet"/>
      </w:pPr>
      <w:r>
        <w:t>Referral workflow for one clinical project remains unresolved</w:t>
      </w:r>
    </w:p>
    <w:p>
      <w:pPr>
        <w:pStyle w:val="ListBullet"/>
      </w:pPr>
      <w:r>
        <w:t>Data platform project charter still in draft awaiting signature</w:t>
      </w:r>
    </w:p>
    <w:p>
      <w:pPr>
        <w:pStyle w:val="ListBullet"/>
      </w:pPr>
      <w:r>
        <w:t>Integration between enclave provisioning and existing research request processes (including IRB workflows) not yet designed</w:t>
      </w:r>
    </w:p>
    <w:p>
      <w:pPr>
        <w:pStyle w:val="ListBullet"/>
      </w:pPr>
      <w:r>
        <w:t>Platform guidance needed for overlapping use cases between new and existing research platforms</w:t>
      </w:r>
    </w:p>
    <w:p>
      <w:pPr>
        <w:pStyle w:val="Heading1"/>
      </w:pPr>
      <w:r>
        <w:t>What I'm Taking Forward</w:t>
      </w:r>
    </w:p>
    <w:p>
      <w:r>
        <w:t>The evaluation-production discrepancy for timeout rates requires independent investigation of splunk logs before the next planning cycle.</w:t>
      </w:r>
    </w:p>
    <w:p>
      <w:pPr>
        <w:pStyle w:val="Heading1"/>
      </w:pPr>
      <w:r>
        <w:t>Further Reading</w:t>
      </w:r>
    </w:p>
    <w:p>
      <w:r>
        <w:t>1. Singhal, K., Tu, T., Gottweis, J., Sayres, R., Wulczyn, E., Hou, L., Clark, K., Pfohl, S., Cole-Lewis, H., Neal, D., Schaekermann, M., Wang, A., Amin, M., Lachgar, S., Mansfield, P., Prakash, S., Green, B., Dominowska, E., Aguera y Arcas, B., ... Natarajan, V. (2023). Towards expert-level medical question answering with large language models. arXiv. https://doi.org/10.48550/arXiv.2305.09617</w:t>
      </w:r>
    </w:p>
    <w:p>
      <w:r>
        <w:t>2. Xiong, G., Jin, Q., Lu, Z., &amp; Zhang, A. (2024). Benchmarking retrieval-augmented generation for medicine. arXiv. https://doi.org/10.48550/arXiv.2402.13178</w:t>
      </w:r>
    </w:p>
    <w:p>
      <w:r>
        <w:t>3. Zhou, H., Liu, F., Gu, B., Zou, X., Huang, J., Wu, J., Li, Y., Chen, S. S., Zhou, P., Liu, J., Hua, Y., Mao, C., You, C., Wu, X., Zheng, Y., Clifton, L., Li, Z., Luo, J., &amp; Clifton, D. A. (2024). A survey of large language models in medicine: Progress, application, and challenge. arXiv. https://arxiv.org/abs/2311.05112</w:t>
      </w:r>
    </w:p>
    <w:p>
      <w:r>
        <w:t>4. Office of the National Coordinator for Health Information Technology. (n.d.). Trusted Exchange Framework and Common Agreement (TEFCA). U.S. Department of Health and Human Services. https://www.healthit.gov/topic/interoperability/trusted-exchange-framework-and-common-agreement-tefca</w:t>
      </w:r>
    </w:p>
    <w:p/>
    <w:p>
      <w:r>
        <w:t>________________________________________________________________________________</w:t>
      </w:r>
    </w:p>
    <w:p>
      <w:r>
        <w:t>Author: Elvis Jones, Senior Solutions Architect for Clinical AI at an academic medical center.</w:t>
      </w:r>
    </w:p>
    <w:p>
      <w:r>
        <w:t>Doctoral candidate in big data analytics at Colorado Technical University.</w:t>
      </w:r>
    </w:p>
    <w:p>
      <w:r>
        <w:t>LinkedIn: https://www.linkedin.com/in/elvis-jones-mba-pmp/</w:t>
      </w:r>
    </w:p>
    <w:p>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