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CBAF3" w14:textId="49A25899" w:rsidR="00F4730F" w:rsidRDefault="001E0654" w:rsidP="001E0654">
      <w:pPr>
        <w:pStyle w:val="Title"/>
      </w:pPr>
      <w:r>
        <w:t>Field Note: Knowledge Transfer Architecture for Clinical AI Productization (2026-05-08)</w:t>
      </w:r>
    </w:p>
    <w:p w14:paraId="18BC736E" w14:textId="77777777" w:rsidR="001E0654" w:rsidRDefault="001E0654" w:rsidP="001E0654"/>
    <w:p w14:paraId="22E2801F" w14:textId="225ABFA0" w:rsidR="001E0654" w:rsidRDefault="001E0654" w:rsidP="001E0654">
      <w:r>
        <w:t>The healthcare organization held its first formal knowledge transfer session with an external vendor tasked with productizing the clinical AI chat tool. The central question is how to transfer architectural understanding of a system built for a single institution to a team that must rebuild it for multiple deployment contexts. A separate thread concerned governance preparation for a data platform nearing production.</w:t>
      </w:r>
    </w:p>
    <w:p w14:paraId="6336AC4E" w14:textId="77777777" w:rsidR="001E0654" w:rsidRDefault="001E0654" w:rsidP="001E0654"/>
    <w:p w14:paraId="2FD86D35" w14:textId="1CE264FF" w:rsidR="001E0654" w:rsidRDefault="001E0654" w:rsidP="001E0654">
      <w:pPr>
        <w:pStyle w:val="Heading1"/>
      </w:pPr>
      <w:r>
        <w:t>The Work</w:t>
      </w:r>
    </w:p>
    <w:p w14:paraId="78AFD267" w14:textId="77777777" w:rsidR="001E0654" w:rsidRDefault="001E0654" w:rsidP="001E0654"/>
    <w:p w14:paraId="69F7C6B8" w14:textId="618F6219" w:rsidR="001E0654" w:rsidRDefault="001E0654" w:rsidP="001E0654">
      <w:pPr>
        <w:pStyle w:val="Heading2"/>
      </w:pPr>
      <w:r>
        <w:t>Clinical AI Knowledge Transfer</w:t>
      </w:r>
    </w:p>
    <w:p w14:paraId="7E21E673" w14:textId="77777777" w:rsidR="001E0654" w:rsidRDefault="001E0654" w:rsidP="001E0654"/>
    <w:p w14:paraId="196D0A2D" w14:textId="44BBAC63" w:rsidR="001E0654" w:rsidRDefault="001E0654" w:rsidP="001E0654">
      <w:r>
        <w:t>The two-hour kickoff session addressed the full stack of the clinical AI system. The architecture spans authentication via SMART on FHIR, real-time data fetching through FHIR APIs, tokenization and chunking for large patient records, routing to multiple LLM providers through a proxy gateway, and persistence in blob storage and Cosmos DB. The deployment footprint includes container apps for the API suite, Azure Functions for the FHIR orchestrator, and private endpoints with encryption throughout.</w:t>
      </w:r>
    </w:p>
    <w:p w14:paraId="6B677A0A" w14:textId="77777777" w:rsidR="001E0654" w:rsidRDefault="001E0654" w:rsidP="001E0654"/>
    <w:p w14:paraId="50C2085B" w14:textId="1CE50319" w:rsidR="001E0654" w:rsidRDefault="001E0654" w:rsidP="001E0654">
      <w:r>
        <w:t>The most technically significant discussion centered on context compression. Patient records routinely exceed two million tokens, requiring a map-reduce style approach: the system chunks the record, compresses each chunk independently, then consolidates the compressed outputs. Model selection follows token count thresholds, with the current production model chosen for its balance of latency and accuracy. Evaluations run approximately every six months against historical logs. The vendor team asked detailed questions about containerization, security hardening, CI/CD processes, and deployment topology for external customers.</w:t>
      </w:r>
    </w:p>
    <w:p w14:paraId="646F3DB1" w14:textId="77777777" w:rsidR="001E0654" w:rsidRDefault="001E0654" w:rsidP="001E0654"/>
    <w:p w14:paraId="52C2F06D" w14:textId="3FF2FD3B" w:rsidR="001E0654" w:rsidRDefault="001E0654" w:rsidP="001E0654">
      <w:r>
        <w:t>The session clarified the relationship between the two organizations. The spin-off company will maintain a separate codebase. The knowledge transfer is about architectural patterns and operational lessons, not code sharing. The vendor is the implementation arm; the healthcare organization retains ownership of the new entity.</w:t>
      </w:r>
    </w:p>
    <w:p w14:paraId="0720E8FF" w14:textId="77777777" w:rsidR="001E0654" w:rsidRDefault="001E0654" w:rsidP="001E0654"/>
    <w:p w14:paraId="04C6D29A" w14:textId="5A8A1A56" w:rsidR="001E0654" w:rsidRDefault="001E0654" w:rsidP="001E0654">
      <w:pPr>
        <w:pStyle w:val="Heading2"/>
      </w:pPr>
      <w:r>
        <w:t>Enterprise Governance Checkpoint</w:t>
      </w:r>
    </w:p>
    <w:p w14:paraId="39682FA9" w14:textId="77777777" w:rsidR="001E0654" w:rsidRDefault="001E0654" w:rsidP="001E0654"/>
    <w:p w14:paraId="305318C8" w14:textId="053D8DEB" w:rsidR="001E0654" w:rsidRDefault="001E0654" w:rsidP="001E0654">
      <w:r>
        <w:t>The platform scrum of scrums reviewed status for the enterprise architecture review scheduled for Tuesday and the full architecture review board on the 28th. A colleague from the DevOps team identified an inaccurate tool reference in the documentation and requested to be added as a reviewer before the presentation.</w:t>
      </w:r>
    </w:p>
    <w:p w14:paraId="59EC0B6F" w14:textId="77777777" w:rsidR="001E0654" w:rsidRDefault="001E0654" w:rsidP="001E0654"/>
    <w:p w14:paraId="6A317A15" w14:textId="3EA4AF67" w:rsidR="001E0654" w:rsidRDefault="001E0654" w:rsidP="001E0654">
      <w:r>
        <w:t>Infrastructure operations ownership remains unresolved. A colleague raised questions about who owns privileges and permissions in the production environment. The follow-up meeting is pending with the platform lead. This pattern of deferred ownership decisions surfacing near go-live checkpoints is common in multi-team platform initiatives.</w:t>
      </w:r>
    </w:p>
    <w:p w14:paraId="7C7FE3F9" w14:textId="77777777" w:rsidR="001E0654" w:rsidRDefault="001E0654" w:rsidP="001E0654"/>
    <w:p w14:paraId="7BDA7550" w14:textId="06D369D0" w:rsidR="001E0654" w:rsidRDefault="001E0654" w:rsidP="001E0654">
      <w:pPr>
        <w:pStyle w:val="Heading1"/>
      </w:pPr>
      <w:r>
        <w:t>Patterns and Frameworks</w:t>
      </w:r>
    </w:p>
    <w:p w14:paraId="45C5B7DB" w14:textId="77777777" w:rsidR="001E0654" w:rsidRDefault="001E0654" w:rsidP="001E0654"/>
    <w:p w14:paraId="0A6474A1" w14:textId="2AF44C06" w:rsidR="001E0654" w:rsidRDefault="001E0654" w:rsidP="001E0654">
      <w:r>
        <w:t>The map-reduce compression approach for large patient contexts aligns with patterns documented in recent prompt compression research. Hu et al. (2026) describe BEAVER, a hierarchical prompt compression method that shifts from linear token removal to structure-aware selection. Berton et al. (2025) present CompLLM, which divides context into segments for independent compression with linear scaling. The clinical AI system's approach appears to follow the segment-then-consolidate pattern, though the source material does not specify whether the implementation is structure-aware.</w:t>
      </w:r>
    </w:p>
    <w:p w14:paraId="43C599FF" w14:textId="77777777" w:rsidR="001E0654" w:rsidRDefault="001E0654" w:rsidP="001E0654"/>
    <w:p w14:paraId="50AA450B" w14:textId="1C313050" w:rsidR="001E0654" w:rsidRDefault="001E0654" w:rsidP="001E0654">
      <w:r>
        <w:t>The SMART on FHIR authentication layer follows the HL7 SMART App Launch v2.2.0 specification, which establishes OAuth 2.0-based patterns for authorizing applications to integrate with FHIR-based data systems. The specification defines two patterns: SMART App Launch for user-facing applications with launch context (such as sharing the currently selected patient from an EHR session) and SMART Backend Services for headless or automated applications.</w:t>
      </w:r>
    </w:p>
    <w:p w14:paraId="62A3C4A5" w14:textId="77777777" w:rsidR="001E0654" w:rsidRDefault="001E0654" w:rsidP="001E0654"/>
    <w:p w14:paraId="246478E1" w14:textId="28594F1E" w:rsidR="001E0654" w:rsidRDefault="001E0654" w:rsidP="001E0654">
      <w:r>
        <w:t>The knowledge transfer structure itself reflects challenges documented in enterprise AI governance literature. Gupta and Shrivastava (2025) examine data governance and business privacy considerations in enterprise AI assistants, noting particular sensitivity for healthcare contexts. The decision to maintain separate codebases while transferring architectural knowledge addresses the compliance boundary between the academic medical center and the commercial entity.</w:t>
      </w:r>
    </w:p>
    <w:p w14:paraId="0EBC4895" w14:textId="77777777" w:rsidR="001E0654" w:rsidRDefault="001E0654" w:rsidP="001E0654"/>
    <w:p w14:paraId="7476E3E4" w14:textId="1011A4BB" w:rsidR="001E0654" w:rsidRDefault="001E0654" w:rsidP="001E0654">
      <w:pPr>
        <w:pStyle w:val="Heading1"/>
      </w:pPr>
      <w:r>
        <w:t>Decisions and Open Items</w:t>
      </w:r>
    </w:p>
    <w:p w14:paraId="062E7118" w14:textId="77777777" w:rsidR="001E0654" w:rsidRDefault="001E0654" w:rsidP="001E0654"/>
    <w:p w14:paraId="4DD568B7" w14:textId="0F1F166A" w:rsidR="001E0654" w:rsidRDefault="001E0654" w:rsidP="001E0654">
      <w:r>
        <w:rPr>
          <w:b/>
        </w:rPr>
        <w:t>Decisions:</w:t>
      </w:r>
    </w:p>
    <w:p w14:paraId="71AC0172" w14:textId="1C14E588" w:rsidR="001E0654" w:rsidRDefault="001E0654" w:rsidP="001E0654">
      <w:pPr>
        <w:pStyle w:val="ListBullet"/>
      </w:pPr>
      <w:r>
        <w:t>Spin-off company will maintain separate codebase; knowledge transfer covers patterns, not code</w:t>
      </w:r>
    </w:p>
    <w:p w14:paraId="3724986D" w14:textId="11F85336" w:rsidR="001E0654" w:rsidRDefault="001E0654" w:rsidP="001E0654">
      <w:pPr>
        <w:pStyle w:val="ListBullet"/>
      </w:pPr>
      <w:r>
        <w:t>Additional knowledge transfer sessions scheduled for Monday (architecture slides) and Wednesday (code review, evaluation framework)</w:t>
      </w:r>
    </w:p>
    <w:p w14:paraId="6487C555" w14:textId="47AA2A1E" w:rsidR="001E0654" w:rsidRDefault="001E0654" w:rsidP="001E0654">
      <w:pPr>
        <w:pStyle w:val="ListBullet"/>
      </w:pPr>
      <w:r>
        <w:t>DevOps team to be added as reviewers for architecture documentation before EA review</w:t>
      </w:r>
    </w:p>
    <w:p w14:paraId="3CD5D0D8" w14:textId="77777777" w:rsidR="001E0654" w:rsidRDefault="001E0654" w:rsidP="001E0654">
      <w:pPr>
        <w:pStyle w:val="ListBullet"/>
      </w:pPr>
    </w:p>
    <w:p w14:paraId="7F54AFB9" w14:textId="6EE6376D" w:rsidR="001E0654" w:rsidRDefault="001E0654" w:rsidP="001E0654">
      <w:r>
        <w:rPr>
          <w:b/>
        </w:rPr>
        <w:t>Open Items:</w:t>
      </w:r>
    </w:p>
    <w:p w14:paraId="61661EE0" w14:textId="25BB52A4" w:rsidR="001E0654" w:rsidRDefault="001E0654" w:rsidP="001E0654">
      <w:pPr>
        <w:pStyle w:val="ListBullet"/>
      </w:pPr>
      <w:r>
        <w:t>Infrastructure operations ownership model pending follow-up with platform lead</w:t>
      </w:r>
    </w:p>
    <w:p w14:paraId="1B1FC7FC" w14:textId="2D47BD87" w:rsidR="001E0654" w:rsidRDefault="001E0654" w:rsidP="001E0654">
      <w:pPr>
        <w:pStyle w:val="ListBullet"/>
      </w:pPr>
      <w:r>
        <w:t>Research workflow SOW under review with stakeholders</w:t>
      </w:r>
    </w:p>
    <w:p w14:paraId="65638025" w14:textId="3537E98D" w:rsidR="001E0654" w:rsidRDefault="001E0654" w:rsidP="001E0654">
      <w:pPr>
        <w:pStyle w:val="ListBullet"/>
      </w:pPr>
      <w:r>
        <w:t>CTO hire for spin-off not yet filled; some product decisions await this role</w:t>
      </w:r>
    </w:p>
    <w:p w14:paraId="69634E2C" w14:textId="77777777" w:rsidR="001E0654" w:rsidRDefault="001E0654" w:rsidP="001E0654">
      <w:pPr>
        <w:pStyle w:val="ListBullet"/>
      </w:pPr>
    </w:p>
    <w:p w14:paraId="17066A84" w14:textId="6C30FE53" w:rsidR="001E0654" w:rsidRDefault="001E0654" w:rsidP="001E0654">
      <w:pPr>
        <w:pStyle w:val="Heading1"/>
      </w:pPr>
      <w:r>
        <w:t>What I'm Taking Forward</w:t>
      </w:r>
    </w:p>
    <w:p w14:paraId="59C4B514" w14:textId="77777777" w:rsidR="001E0654" w:rsidRDefault="001E0654" w:rsidP="001E0654"/>
    <w:p w14:paraId="0B2163B7" w14:textId="1AFB1F20" w:rsidR="001E0654" w:rsidRDefault="001E0654" w:rsidP="001E0654">
      <w:r>
        <w:t>The vendor's questions about security hardening (TLS verification, JWT validation, hardcoded keys) require documentation of which items are Stanford-specific versus transferable. This boundary definition will shape the next two sessions.</w:t>
      </w:r>
    </w:p>
    <w:p w14:paraId="42B28A52" w14:textId="77777777" w:rsidR="001E0654" w:rsidRDefault="001E0654" w:rsidP="001E0654"/>
    <w:p w14:paraId="512A52F0" w14:textId="5FBC9E9F" w:rsidR="001E0654" w:rsidRDefault="001E0654" w:rsidP="001E0654">
      <w:pPr>
        <w:pStyle w:val="Heading1"/>
      </w:pPr>
      <w:r>
        <w:t>Further Reading</w:t>
      </w:r>
    </w:p>
    <w:p w14:paraId="39CB4B1F" w14:textId="77777777" w:rsidR="001E0654" w:rsidRDefault="001E0654" w:rsidP="001E0654"/>
    <w:p w14:paraId="7637121F" w14:textId="2162758E" w:rsidR="001E0654" w:rsidRDefault="001E0654" w:rsidP="001E0654">
      <w:pPr>
        <w:pStyle w:val="ListNumber"/>
      </w:pPr>
      <w:r>
        <w:t>Berton, G., Unnikrishnan, J., Tran, S., &amp; Shah, M. (2025). CompLLM: Compression for long context Q&amp;A. arXiv preprint. https://arxiv.org/abs/2509.19228</w:t>
      </w:r>
    </w:p>
    <w:p w14:paraId="33BFBED4" w14:textId="5E08A980" w:rsidR="001E0654" w:rsidRDefault="001E0654" w:rsidP="001E0654">
      <w:pPr>
        <w:pStyle w:val="ListNumber"/>
      </w:pPr>
      <w:r>
        <w:t>Gupta, K., &amp; Shrivastava, A. (2025). Zero data retention in LLM-based enterprise AI assistants: A comparative study of market leading agentic AI products. arXiv preprint. https://arxiv.org/abs/2510.11558</w:t>
      </w:r>
    </w:p>
    <w:p w14:paraId="07C6510C" w14:textId="5E1FF873" w:rsidR="001E0654" w:rsidRDefault="001E0654" w:rsidP="001E0654">
      <w:pPr>
        <w:pStyle w:val="ListNumber"/>
      </w:pPr>
      <w:r>
        <w:t>HL7 International. (2024). SMART App Launch v2.2.0 (FHIR Implementation Guide). https://hl7.org/fhir/smart-app-launch/</w:t>
      </w:r>
    </w:p>
    <w:p w14:paraId="750B9BF2" w14:textId="596A9B35" w:rsidR="001E0654" w:rsidRDefault="001E0654" w:rsidP="001E0654">
      <w:pPr>
        <w:pStyle w:val="ListNumber"/>
      </w:pPr>
      <w:r>
        <w:t>Hu, Z., Li, K., Fu, D., Zeng, C., Li, Y., Tang, Y., &amp; Huang, J. (2026). BEAVER: A training-free hierarchical prompt compression method via structure-aware page selection. arXiv preprint. https://arxiv.org/abs/2603.19635</w:t>
      </w:r>
    </w:p>
    <w:p w14:paraId="1838C17E" w14:textId="77777777" w:rsidR="001E0654" w:rsidRDefault="001E0654" w:rsidP="001E0654">
      <w:pPr>
        <w:pStyle w:val="ListNumber"/>
      </w:pPr>
    </w:p>
    <w:p w14:paraId="136EA83F" w14:textId="1739410C" w:rsidR="001E0654" w:rsidRDefault="001E0654" w:rsidP="001E0654">
      <w:r>
        <w:t>________________________________________</w:t>
      </w:r>
    </w:p>
    <w:p w14:paraId="15C634B8" w14:textId="6FE13961" w:rsidR="001E0654" w:rsidRDefault="001E0654" w:rsidP="001E0654">
      <w:r>
        <w:t>Author: Elvis Jones, Senior Solutions Architect for Clinical AI at an academic medical center.</w:t>
      </w:r>
    </w:p>
    <w:p w14:paraId="2C54755B" w14:textId="3F26F7D4" w:rsidR="001E0654" w:rsidRDefault="001E0654" w:rsidP="001E0654">
      <w:r>
        <w:t>Doctoral candidate in big data analytics at Colorado Technical University.</w:t>
      </w:r>
    </w:p>
    <w:p w14:paraId="3D373351" w14:textId="09B880AC" w:rsidR="001E0654" w:rsidRDefault="001E0654" w:rsidP="001E0654">
      <w:r>
        <w:t>LinkedIn: https://www.linkedin.com/in/elvis-jones-mba-pmp/</w:t>
      </w:r>
    </w:p>
    <w:p w14:paraId="06E2BF84" w14:textId="43D9E732" w:rsidR="001E0654" w:rsidRPr="001E0654" w:rsidRDefault="001E0654" w:rsidP="001E0654">
      <w:r>
        <w:t>GitHub: https://github.com/AriesEmber</w:t>
      </w:r>
    </w:p>
    <w:sectPr w:rsidR="001E0654" w:rsidRPr="001E0654" w:rsidSect="001E065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D46F17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AB6830E6"/>
    <w:lvl w:ilvl="0">
      <w:start w:val="1"/>
      <w:numFmt w:val="bullet"/>
      <w:pStyle w:val="ListBullet"/>
      <w:lvlText w:val=""/>
      <w:lvlJc w:val="left"/>
      <w:pPr>
        <w:tabs>
          <w:tab w:val="num" w:pos="360"/>
        </w:tabs>
        <w:ind w:left="360" w:hanging="360"/>
      </w:pPr>
      <w:rPr>
        <w:rFonts w:ascii="Symbol" w:hAnsi="Symbol" w:hint="default"/>
      </w:rPr>
    </w:lvl>
  </w:abstractNum>
  <w:num w:numId="1" w16cid:durableId="1160346550">
    <w:abstractNumId w:val="1"/>
  </w:num>
  <w:num w:numId="2" w16cid:durableId="498430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654"/>
    <w:rsid w:val="001E0654"/>
    <w:rsid w:val="00B8023B"/>
    <w:rsid w:val="00EF7A9C"/>
    <w:rsid w:val="00F47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F375D"/>
  <w15:chartTrackingRefBased/>
  <w15:docId w15:val="{C8CA358B-70C6-4E41-BB99-D83AEA8A6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6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06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6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6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6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6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6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6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6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6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06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6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6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6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654"/>
    <w:rPr>
      <w:rFonts w:eastAsiaTheme="majorEastAsia" w:cstheme="majorBidi"/>
      <w:color w:val="272727" w:themeColor="text1" w:themeTint="D8"/>
    </w:rPr>
  </w:style>
  <w:style w:type="paragraph" w:styleId="Title">
    <w:name w:val="Title"/>
    <w:basedOn w:val="Normal"/>
    <w:next w:val="Normal"/>
    <w:link w:val="TitleChar"/>
    <w:uiPriority w:val="10"/>
    <w:qFormat/>
    <w:rsid w:val="001E0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6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6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654"/>
    <w:pPr>
      <w:spacing w:before="160"/>
      <w:jc w:val="center"/>
    </w:pPr>
    <w:rPr>
      <w:i/>
      <w:iCs/>
      <w:color w:val="404040" w:themeColor="text1" w:themeTint="BF"/>
    </w:rPr>
  </w:style>
  <w:style w:type="character" w:customStyle="1" w:styleId="QuoteChar">
    <w:name w:val="Quote Char"/>
    <w:basedOn w:val="DefaultParagraphFont"/>
    <w:link w:val="Quote"/>
    <w:uiPriority w:val="29"/>
    <w:rsid w:val="001E0654"/>
    <w:rPr>
      <w:i/>
      <w:iCs/>
      <w:color w:val="404040" w:themeColor="text1" w:themeTint="BF"/>
    </w:rPr>
  </w:style>
  <w:style w:type="paragraph" w:styleId="ListParagraph">
    <w:name w:val="List Paragraph"/>
    <w:basedOn w:val="Normal"/>
    <w:uiPriority w:val="34"/>
    <w:qFormat/>
    <w:rsid w:val="001E0654"/>
    <w:pPr>
      <w:ind w:left="720"/>
      <w:contextualSpacing/>
    </w:pPr>
  </w:style>
  <w:style w:type="character" w:styleId="IntenseEmphasis">
    <w:name w:val="Intense Emphasis"/>
    <w:basedOn w:val="DefaultParagraphFont"/>
    <w:uiPriority w:val="21"/>
    <w:qFormat/>
    <w:rsid w:val="001E0654"/>
    <w:rPr>
      <w:i/>
      <w:iCs/>
      <w:color w:val="0F4761" w:themeColor="accent1" w:themeShade="BF"/>
    </w:rPr>
  </w:style>
  <w:style w:type="paragraph" w:styleId="IntenseQuote">
    <w:name w:val="Intense Quote"/>
    <w:basedOn w:val="Normal"/>
    <w:next w:val="Normal"/>
    <w:link w:val="IntenseQuoteChar"/>
    <w:uiPriority w:val="30"/>
    <w:qFormat/>
    <w:rsid w:val="001E06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654"/>
    <w:rPr>
      <w:i/>
      <w:iCs/>
      <w:color w:val="0F4761" w:themeColor="accent1" w:themeShade="BF"/>
    </w:rPr>
  </w:style>
  <w:style w:type="character" w:styleId="IntenseReference">
    <w:name w:val="Intense Reference"/>
    <w:basedOn w:val="DefaultParagraphFont"/>
    <w:uiPriority w:val="32"/>
    <w:qFormat/>
    <w:rsid w:val="001E0654"/>
    <w:rPr>
      <w:b/>
      <w:bCs/>
      <w:smallCaps/>
      <w:color w:val="0F4761" w:themeColor="accent1" w:themeShade="BF"/>
      <w:spacing w:val="5"/>
    </w:rPr>
  </w:style>
  <w:style w:type="paragraph" w:styleId="ListBullet">
    <w:name w:val="List Bullet"/>
    <w:basedOn w:val="Normal"/>
    <w:uiPriority w:val="99"/>
    <w:unhideWhenUsed/>
    <w:rsid w:val="001E0654"/>
    <w:pPr>
      <w:numPr>
        <w:numId w:val="1"/>
      </w:numPr>
      <w:contextualSpacing/>
    </w:pPr>
  </w:style>
  <w:style w:type="paragraph" w:styleId="ListNumber">
    <w:name w:val="List Number"/>
    <w:basedOn w:val="Normal"/>
    <w:uiPriority w:val="99"/>
    <w:unhideWhenUsed/>
    <w:rsid w:val="001E0654"/>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909</Words>
  <Characters>5182</Characters>
  <Application>Microsoft Office Word</Application>
  <DocSecurity>0</DocSecurity>
  <Lines>43</Lines>
  <Paragraphs>12</Paragraphs>
  <ScaleCrop>false</ScaleCrop>
  <Company/>
  <LinksUpToDate>false</LinksUpToDate>
  <CharactersWithSpaces>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Elvis</dc:creator>
  <cp:keywords/>
  <dc:description/>
  <cp:lastModifiedBy>Jones, Elvis</cp:lastModifiedBy>
  <cp:revision>1</cp:revision>
  <dcterms:created xsi:type="dcterms:W3CDTF">2026-05-11T18:58:00Z</dcterms:created>
  <dcterms:modified xsi:type="dcterms:W3CDTF">2026-05-11T18:58:00Z</dcterms:modified>
</cp:coreProperties>
</file>