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0665994"/>
    <w:p w14:paraId="2162D59E" w14:textId="6BF24871" w:rsidR="00914B90" w:rsidRPr="00673B37" w:rsidRDefault="00952429" w:rsidP="00673B37">
      <w:pPr>
        <w:ind w:leftChars="-118" w:hangingChars="96" w:hanging="283"/>
        <w:rPr>
          <w:rFonts w:ascii="標楷體" w:eastAsia="標楷體" w:hAnsi="標楷體"/>
          <w:b/>
          <w:bCs/>
          <w:w w:val="105"/>
          <w:sz w:val="28"/>
          <w:szCs w:val="28"/>
        </w:rPr>
      </w:pPr>
      <w:r w:rsidRPr="00673B37">
        <w:rPr>
          <w:rFonts w:ascii="標楷體" w:eastAsia="標楷體" w:hAnsi="標楷體"/>
          <w:b/>
          <w:bCs/>
          <w:noProof/>
          <w:w w:val="10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CC219" wp14:editId="25B87B10">
                <wp:simplePos x="0" y="0"/>
                <wp:positionH relativeFrom="column">
                  <wp:posOffset>4619625</wp:posOffset>
                </wp:positionH>
                <wp:positionV relativeFrom="paragraph">
                  <wp:posOffset>9525</wp:posOffset>
                </wp:positionV>
                <wp:extent cx="666750" cy="342900"/>
                <wp:effectExtent l="0" t="0" r="19050" b="190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ADCF7" w14:textId="3173FA74" w:rsidR="00952429" w:rsidRPr="00952429" w:rsidRDefault="0095242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952429">
                              <w:rPr>
                                <w:rFonts w:ascii="標楷體" w:eastAsia="標楷體" w:hAnsi="標楷體" w:hint="eastAsia"/>
                              </w:rPr>
                              <w:t>附件</w:t>
                            </w:r>
                            <w:r w:rsidR="00CC0BD8">
                              <w:rPr>
                                <w:rFonts w:ascii="標楷體" w:eastAsia="標楷體" w:hAnsi="標楷體" w:hint="eastAsia"/>
                              </w:rPr>
                              <w:t>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C21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63.75pt;margin-top:.75pt;width:52.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">
                <v:textbox>
                  <w:txbxContent>
                    <w:p w14:paraId="28DADCF7" w14:textId="3173FA74" w:rsidR="00952429" w:rsidRPr="00952429" w:rsidRDefault="00952429">
                      <w:pPr>
                        <w:rPr>
                          <w:rFonts w:ascii="標楷體" w:eastAsia="標楷體" w:hAnsi="標楷體"/>
                        </w:rPr>
                      </w:pPr>
                      <w:r w:rsidRPr="00952429">
                        <w:rPr>
                          <w:rFonts w:ascii="標楷體" w:eastAsia="標楷體" w:hAnsi="標楷體" w:hint="eastAsia"/>
                        </w:rPr>
                        <w:t>附件</w:t>
                      </w:r>
                      <w:r w:rsidR="00CC0BD8">
                        <w:rPr>
                          <w:rFonts w:ascii="標楷體" w:eastAsia="標楷體" w:hAnsi="標楷體" w:hint="eastAsia"/>
                        </w:rPr>
                        <w:t>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3B37">
        <w:rPr>
          <w:rFonts w:ascii="標楷體" w:eastAsia="標楷體" w:hAnsi="標楷體" w:hint="eastAsia"/>
          <w:b/>
          <w:bCs/>
          <w:w w:val="105"/>
          <w:sz w:val="28"/>
          <w:szCs w:val="28"/>
        </w:rPr>
        <w:t>服務水準及績效違約金</w:t>
      </w:r>
      <w:bookmarkEnd w:id="0"/>
      <w:r w:rsidR="00673B37">
        <w:rPr>
          <w:rFonts w:ascii="標楷體" w:eastAsia="標楷體" w:hAnsi="標楷體" w:hint="eastAsia"/>
          <w:b/>
          <w:bCs/>
          <w:w w:val="105"/>
          <w:sz w:val="28"/>
          <w:szCs w:val="28"/>
        </w:rPr>
        <w:t>評估表</w:t>
      </w:r>
    </w:p>
    <w:p w14:paraId="7C19C64F" w14:textId="60D1B396" w:rsidR="00673B37" w:rsidRPr="00673B37" w:rsidRDefault="00673B37" w:rsidP="00673B37">
      <w:pPr>
        <w:ind w:leftChars="-118" w:hangingChars="101" w:hanging="283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違約金計算方式</w:t>
      </w:r>
      <w:r w:rsidRPr="00AE4371">
        <w:rPr>
          <w:rFonts w:ascii="標楷體" w:eastAsia="標楷體" w:hAnsi="標楷體" w:hint="eastAsia"/>
          <w:b/>
          <w:bCs/>
          <w:sz w:val="28"/>
          <w:szCs w:val="28"/>
        </w:rPr>
        <w:t>：每點違約金金額為按本契約價金總額</w:t>
      </w:r>
      <w:r w:rsidR="0021785C">
        <w:rPr>
          <w:rFonts w:ascii="標楷體" w:eastAsia="標楷體" w:hAnsi="標楷體" w:hint="eastAsia"/>
          <w:b/>
          <w:bCs/>
          <w:sz w:val="28"/>
          <w:szCs w:val="28"/>
        </w:rPr>
        <w:t>0.</w:t>
      </w:r>
      <w:r w:rsidRPr="00AE4371">
        <w:rPr>
          <w:rFonts w:ascii="標楷體" w:eastAsia="標楷體" w:hAnsi="標楷體" w:hint="eastAsia"/>
          <w:b/>
          <w:bCs/>
          <w:sz w:val="28"/>
          <w:szCs w:val="28"/>
        </w:rPr>
        <w:t>1％計算。</w:t>
      </w:r>
    </w:p>
    <w:tbl>
      <w:tblPr>
        <w:tblW w:w="8931" w:type="dxa"/>
        <w:tblInd w:w="-2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84"/>
        <w:gridCol w:w="3000"/>
        <w:gridCol w:w="1800"/>
        <w:gridCol w:w="2647"/>
      </w:tblGrid>
      <w:tr w:rsidR="0050176F" w:rsidRPr="00D33090" w14:paraId="6E66F80A" w14:textId="77777777" w:rsidTr="00D33090">
        <w:trPr>
          <w:cantSplit/>
          <w:tblHeader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63B7F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評估項目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56582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評斷方式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3F50E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要求基準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D0934" w14:textId="77777777" w:rsidR="0050176F" w:rsidRPr="00D33090" w:rsidRDefault="0050176F" w:rsidP="003C08A5">
            <w:pPr>
              <w:pStyle w:val="a3"/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違約金計點</w:t>
            </w:r>
          </w:p>
        </w:tc>
      </w:tr>
      <w:tr w:rsidR="0050176F" w:rsidRPr="00D33090" w14:paraId="721244D5" w14:textId="77777777" w:rsidTr="00D33090">
        <w:trPr>
          <w:cantSplit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75094" w14:textId="77777777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故障排除、系統修復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B2D7C" w14:textId="7D63C0E7" w:rsidR="0050176F" w:rsidRPr="00D33090" w:rsidRDefault="0050176F" w:rsidP="00E24B9A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經</w:t>
            </w:r>
            <w:r w:rsidR="002A692C">
              <w:rPr>
                <w:rFonts w:ascii="標楷體" w:eastAsia="標楷體" w:hAnsi="標楷體" w:hint="eastAsia"/>
                <w:iCs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通知（不限形式）後，未依契約規定，修復或提供相同</w:t>
            </w:r>
            <w:proofErr w:type="gramStart"/>
            <w:r w:rsidRPr="00D33090">
              <w:rPr>
                <w:rFonts w:ascii="標楷體" w:eastAsia="標楷體" w:hAnsi="標楷體"/>
                <w:iCs/>
                <w:sz w:val="28"/>
              </w:rPr>
              <w:t>系統供</w:t>
            </w:r>
            <w:r w:rsidR="002A692C">
              <w:rPr>
                <w:rFonts w:ascii="標楷體" w:eastAsia="標楷體" w:hAnsi="標楷體" w:hint="eastAsia"/>
                <w:iCs/>
                <w:sz w:val="28"/>
              </w:rPr>
              <w:t>甲方</w:t>
            </w:r>
            <w:proofErr w:type="gramEnd"/>
            <w:r w:rsidRPr="00D33090">
              <w:rPr>
                <w:rFonts w:ascii="標楷體" w:eastAsia="標楷體" w:hAnsi="標楷體"/>
                <w:iCs/>
                <w:sz w:val="28"/>
              </w:rPr>
              <w:t>暫時使用</w:t>
            </w:r>
            <w:r w:rsidR="00E24B9A">
              <w:rPr>
                <w:rFonts w:ascii="標楷體" w:eastAsia="標楷體" w:hAnsi="標楷體" w:hint="eastAsia"/>
                <w:iCs/>
                <w:sz w:val="28"/>
              </w:rPr>
              <w:t>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C139" w14:textId="5D12BF12" w:rsidR="00E24B9A" w:rsidRPr="001202AF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每次統計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4CA6" w14:textId="1A661C73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每逾</w:t>
            </w:r>
            <w:r w:rsidR="00D33090" w:rsidRPr="00D33090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日計</w:t>
            </w:r>
            <w:r w:rsidR="00D33090" w:rsidRPr="00D33090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點</w:t>
            </w:r>
          </w:p>
        </w:tc>
      </w:tr>
      <w:tr w:rsidR="0050176F" w:rsidRPr="00D33090" w14:paraId="10CA91D1" w14:textId="77777777" w:rsidTr="00D33090">
        <w:trPr>
          <w:cantSplit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98FD" w14:textId="77777777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系統可用率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F441" w14:textId="38FCA6FA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系統各項功能，可正常提供使用者之時間百分比，不得低於</w:t>
            </w:r>
            <w:r w:rsidR="00DF5159">
              <w:rPr>
                <w:rFonts w:ascii="標楷體" w:eastAsia="標楷體" w:hAnsi="標楷體" w:hint="eastAsia"/>
                <w:iCs/>
                <w:sz w:val="28"/>
              </w:rPr>
              <w:t>99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％</w:t>
            </w:r>
            <w:r w:rsidR="00E24B9A">
              <w:rPr>
                <w:rFonts w:ascii="標楷體" w:eastAsia="標楷體" w:hAnsi="標楷體" w:hint="eastAsia"/>
                <w:iCs/>
                <w:sz w:val="28"/>
              </w:rPr>
              <w:t>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535B" w14:textId="126566C6" w:rsidR="00E24B9A" w:rsidRPr="001202AF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</w:t>
            </w:r>
            <w:r w:rsidR="00E725AE">
              <w:rPr>
                <w:rFonts w:ascii="標楷體" w:eastAsia="標楷體" w:hAnsi="標楷體" w:hint="eastAsia"/>
                <w:iCs/>
                <w:sz w:val="28"/>
              </w:rPr>
              <w:t>月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統計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999B5" w14:textId="083A3A33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每不足</w:t>
            </w:r>
            <w:r w:rsidR="00DF5159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％計</w:t>
            </w:r>
            <w:r w:rsidR="00DF5159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點</w:t>
            </w:r>
          </w:p>
        </w:tc>
      </w:tr>
      <w:tr w:rsidR="0050176F" w:rsidRPr="00D33090" w14:paraId="5619B492" w14:textId="77777777" w:rsidTr="00D33090">
        <w:trPr>
          <w:cantSplit/>
        </w:trPr>
        <w:tc>
          <w:tcPr>
            <w:tcW w:w="14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8C954" w14:textId="77777777" w:rsidR="0050176F" w:rsidRPr="00D33090" w:rsidRDefault="0050176F" w:rsidP="003C08A5">
            <w:pPr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08383" w14:textId="7FD67FEE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單日累計</w:t>
            </w:r>
            <w:r w:rsidR="002403AA">
              <w:rPr>
                <w:rFonts w:ascii="標楷體" w:eastAsia="標楷體" w:hAnsi="標楷體" w:hint="eastAsia"/>
                <w:iCs/>
                <w:sz w:val="28"/>
              </w:rPr>
              <w:t>監控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時數（不滿1小時，以1小時計）</w:t>
            </w:r>
            <w:r w:rsidR="00E24B9A">
              <w:rPr>
                <w:rFonts w:ascii="標楷體" w:eastAsia="標楷體" w:hAnsi="標楷體" w:hint="eastAsia"/>
                <w:iCs/>
                <w:sz w:val="28"/>
              </w:rPr>
              <w:t>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23D4A" w14:textId="02CEC59D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每日不得超過</w:t>
            </w:r>
            <w:r w:rsidR="002403AA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小時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60DBC" w14:textId="43245055" w:rsidR="0050176F" w:rsidRPr="00D33090" w:rsidRDefault="0050176F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每逾</w:t>
            </w:r>
            <w:r w:rsidR="0021785C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小時計</w:t>
            </w:r>
            <w:r w:rsidR="0021785C"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點</w:t>
            </w:r>
          </w:p>
        </w:tc>
      </w:tr>
      <w:tr w:rsidR="00530986" w:rsidRPr="00D33090" w14:paraId="409522FE" w14:textId="77777777" w:rsidTr="00311854">
        <w:trPr>
          <w:cantSplit/>
        </w:trPr>
        <w:tc>
          <w:tcPr>
            <w:tcW w:w="14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C733AB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proofErr w:type="gramStart"/>
            <w:r w:rsidRPr="00D33090">
              <w:rPr>
                <w:rFonts w:ascii="標楷體" w:eastAsia="標楷體" w:hAnsi="標楷體"/>
                <w:iCs/>
                <w:sz w:val="28"/>
              </w:rPr>
              <w:t>資安指標</w:t>
            </w:r>
            <w:proofErr w:type="gramEnd"/>
          </w:p>
          <w:p w14:paraId="6CD4F7A3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7BE4A915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01325D72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169D469F" w14:textId="50A5209C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69E0D27E" w14:textId="16EC8DF1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0C0E2155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7D3863B0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20810BE1" w14:textId="2A240DF5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4382F8B" w14:textId="68C3A9DB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3558314B" w14:textId="5EA719F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B9C1483" w14:textId="50CFB32E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B19D0DD" w14:textId="70CB95EE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D43BC4D" w14:textId="586411AA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12068C37" w14:textId="420E7EFC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412A7392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6A5FC6F6" w14:textId="77777777" w:rsidR="00530986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</w:p>
          <w:p w14:paraId="3FFE674D" w14:textId="5FE69620" w:rsidR="00530986" w:rsidRPr="006419F2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 w:rsidRPr="006419F2">
              <w:rPr>
                <w:rFonts w:ascii="標楷體" w:eastAsia="標楷體" w:hAnsi="標楷體" w:hint="eastAsia"/>
                <w:sz w:val="28"/>
                <w:szCs w:val="28"/>
              </w:rPr>
              <w:t>資安指標</w:t>
            </w:r>
            <w:proofErr w:type="gram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CDD3AF" w14:textId="592530A2" w:rsidR="00530986" w:rsidRPr="00AB441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z w:val="28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知悉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發生資安事件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之通報、損害控制或復原作業時效</w:t>
            </w:r>
            <w:r>
              <w:rPr>
                <w:rFonts w:ascii="標楷體" w:eastAsia="標楷體" w:hAnsi="標楷體" w:hint="eastAsia"/>
                <w:iCs/>
                <w:sz w:val="28"/>
              </w:rPr>
              <w:t>。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C3EAAD3" w14:textId="4062214E" w:rsidR="00530986" w:rsidRPr="00356993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trike/>
                <w:sz w:val="28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應於1小時內通知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（或接獲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通知1小時內），並採取適當之應變措施</w:t>
            </w:r>
            <w:r>
              <w:rPr>
                <w:rFonts w:ascii="標楷體" w:eastAsia="標楷體" w:hAnsi="標楷體" w:hint="eastAsia"/>
                <w:iCs/>
                <w:sz w:val="28"/>
              </w:rPr>
              <w:t>。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B2C6115" w14:textId="35221AB0" w:rsidR="00530986" w:rsidRPr="00356993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iCs/>
                <w:strike/>
                <w:sz w:val="28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每逾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小時計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</w:p>
        </w:tc>
      </w:tr>
      <w:tr w:rsidR="00530986" w:rsidRPr="00D33090" w14:paraId="6809A28B" w14:textId="77777777" w:rsidTr="00311854">
        <w:trPr>
          <w:cantSplit/>
          <w:trHeight w:val="2385"/>
        </w:trPr>
        <w:tc>
          <w:tcPr>
            <w:tcW w:w="14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1259F" w14:textId="6725316F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D23C4" w14:textId="158E0655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完成損害控制或復原作業之時效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222B1" w14:textId="79A6E936" w:rsidR="00530986" w:rsidRPr="002403AA" w:rsidRDefault="00530986" w:rsidP="002403AA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  <w:color w:val="000000"/>
                <w:sz w:val="28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應於知悉資通安全事件後72小時(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重大資安事件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為36小時)內完成損害控制或復原作業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9D051" w14:textId="286E54BF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每逾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小時計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</w:p>
        </w:tc>
      </w:tr>
      <w:tr w:rsidR="00530986" w:rsidRPr="00D33090" w14:paraId="203E3436" w14:textId="77777777" w:rsidTr="007A46FF">
        <w:trPr>
          <w:cantSplit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E23FE7" w14:textId="77777777" w:rsidR="00530986" w:rsidRPr="00D33090" w:rsidRDefault="00530986" w:rsidP="003C08A5">
            <w:pPr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A55E4" w14:textId="6F56B9CF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資料之機密性及完整性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DBE8E" w14:textId="795C6BFE" w:rsidR="00530986" w:rsidRPr="001202AF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  <w:color w:val="000000"/>
                <w:sz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擁有之敏感資料應採取適當之防護措施，以避免不當外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洩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或遭竄改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264E" w14:textId="696FFA84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乙方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於本契約承接範圍內，因未採取適當防護，致機關敏感資料外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洩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或遭竄改時，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按受影響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資料筆數，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每筆計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</w:tr>
      <w:tr w:rsidR="00530986" w:rsidRPr="00D33090" w14:paraId="1BAD2F93" w14:textId="77777777" w:rsidTr="007A46FF">
        <w:trPr>
          <w:cantSplit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65C619" w14:textId="77777777" w:rsidR="00530986" w:rsidRPr="00D33090" w:rsidRDefault="00530986" w:rsidP="003C08A5">
            <w:pPr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D75B1" w14:textId="4A600DC9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color w:val="000000"/>
                <w:sz w:val="28"/>
              </w:rPr>
              <w:t>個人資料之機密性及完整性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8BB27" w14:textId="5DB3EA0C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甲方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所擁有之個人資料應採取適當之防護措施，以避免不當外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洩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或遭竄改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9551" w14:textId="1B53F891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</w:rPr>
              <w:t>乙方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於本契約承接範圍內，因未採取適當防護，致機關個人資料外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洩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或遭竄改時，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按受影響</w:t>
            </w:r>
            <w:proofErr w:type="gramEnd"/>
            <w:r w:rsidRPr="00D33090">
              <w:rPr>
                <w:rFonts w:ascii="標楷體" w:eastAsia="標楷體" w:hAnsi="標楷體"/>
                <w:color w:val="000000"/>
                <w:sz w:val="28"/>
              </w:rPr>
              <w:t>資料筆數，</w:t>
            </w:r>
            <w:proofErr w:type="gramStart"/>
            <w:r w:rsidRPr="00D33090">
              <w:rPr>
                <w:rFonts w:ascii="標楷體" w:eastAsia="標楷體" w:hAnsi="標楷體"/>
                <w:color w:val="000000"/>
                <w:sz w:val="28"/>
              </w:rPr>
              <w:t>每筆計</w:t>
            </w:r>
            <w:r>
              <w:rPr>
                <w:rFonts w:ascii="標楷體" w:eastAsia="標楷體" w:hAnsi="標楷體" w:hint="eastAsia"/>
                <w:color w:val="000000"/>
                <w:sz w:val="28"/>
              </w:rPr>
              <w:t>1</w:t>
            </w:r>
            <w:r w:rsidRPr="00D33090">
              <w:rPr>
                <w:rFonts w:ascii="標楷體" w:eastAsia="標楷體" w:hAnsi="標楷體"/>
                <w:color w:val="000000"/>
                <w:sz w:val="28"/>
              </w:rPr>
              <w:t>點</w:t>
            </w:r>
            <w:proofErr w:type="gramEnd"/>
            <w:r>
              <w:rPr>
                <w:rFonts w:ascii="標楷體" w:eastAsia="標楷體" w:hAnsi="標楷體" w:hint="eastAsia"/>
                <w:color w:val="000000"/>
                <w:sz w:val="28"/>
              </w:rPr>
              <w:t>。</w:t>
            </w:r>
          </w:p>
        </w:tc>
      </w:tr>
      <w:tr w:rsidR="00530986" w:rsidRPr="00D33090" w14:paraId="569AF815" w14:textId="77777777" w:rsidTr="00530986">
        <w:trPr>
          <w:cantSplit/>
          <w:trHeight w:val="850"/>
        </w:trPr>
        <w:tc>
          <w:tcPr>
            <w:tcW w:w="14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06EAA6" w14:textId="77777777" w:rsidR="00530986" w:rsidRPr="00D33090" w:rsidRDefault="00530986" w:rsidP="003C08A5">
            <w:pPr>
              <w:rPr>
                <w:rFonts w:ascii="標楷體" w:eastAsia="標楷體" w:hAnsi="標楷體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64D0C0" w14:textId="121E879B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違反契約約定廠商應履行之項目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A9258D" w14:textId="48960DDD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每季不得超過</w:t>
            </w:r>
            <w:r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次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1256DC" w14:textId="47A1976A" w:rsidR="00530986" w:rsidRPr="00D33090" w:rsidRDefault="00530986" w:rsidP="003C08A5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按超過之次數計算，每超過</w:t>
            </w:r>
            <w:proofErr w:type="gramStart"/>
            <w:r w:rsidRPr="00D33090">
              <w:rPr>
                <w:rFonts w:ascii="標楷體" w:eastAsia="標楷體" w:hAnsi="標楷體"/>
                <w:iCs/>
                <w:sz w:val="28"/>
              </w:rPr>
              <w:t>乙次計</w:t>
            </w:r>
            <w:r>
              <w:rPr>
                <w:rFonts w:ascii="標楷體" w:eastAsia="標楷體" w:hAnsi="標楷體" w:hint="eastAsia"/>
                <w:iCs/>
                <w:sz w:val="28"/>
              </w:rPr>
              <w:t>1</w:t>
            </w:r>
            <w:r w:rsidRPr="00D33090">
              <w:rPr>
                <w:rFonts w:ascii="標楷體" w:eastAsia="標楷體" w:hAnsi="標楷體"/>
                <w:iCs/>
                <w:sz w:val="28"/>
              </w:rPr>
              <w:t>點</w:t>
            </w:r>
            <w:proofErr w:type="gramEnd"/>
          </w:p>
        </w:tc>
      </w:tr>
      <w:tr w:rsidR="00530986" w:rsidRPr="00D33090" w14:paraId="728B4359" w14:textId="77777777" w:rsidTr="001202AF">
        <w:trPr>
          <w:cantSplit/>
          <w:trHeight w:val="898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C7F8D" w14:textId="77777777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  <w:r w:rsidRPr="00D33090">
              <w:rPr>
                <w:rFonts w:ascii="標楷體" w:eastAsia="標楷體" w:hAnsi="標楷體"/>
                <w:iCs/>
                <w:sz w:val="28"/>
              </w:rPr>
              <w:t>其他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2482" w14:textId="205A4525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3525C" w14:textId="69273648" w:rsidR="00530986" w:rsidRPr="00D33090" w:rsidRDefault="00530986" w:rsidP="003C08A5">
            <w:pPr>
              <w:pStyle w:val="a3"/>
              <w:spacing w:line="380" w:lineRule="exact"/>
              <w:rPr>
                <w:rFonts w:ascii="標楷體" w:eastAsia="標楷體" w:hAnsi="標楷體"/>
              </w:rPr>
            </w:pP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8A09" w14:textId="2116221B" w:rsidR="00530986" w:rsidRPr="00D33090" w:rsidRDefault="00530986" w:rsidP="003C08A5">
            <w:pPr>
              <w:pStyle w:val="a3"/>
              <w:spacing w:line="38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14:paraId="3077231A" w14:textId="546D14A1" w:rsidR="0050176F" w:rsidRPr="00D33090" w:rsidRDefault="0050176F">
      <w:pPr>
        <w:rPr>
          <w:rFonts w:ascii="標楷體" w:eastAsia="標楷體" w:hAnsi="標楷體"/>
        </w:rPr>
      </w:pPr>
    </w:p>
    <w:sectPr w:rsidR="0050176F" w:rsidRPr="00D3309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0BF1" w14:textId="77777777" w:rsidR="007667C9" w:rsidRDefault="007667C9" w:rsidP="00865576">
      <w:r>
        <w:separator/>
      </w:r>
    </w:p>
  </w:endnote>
  <w:endnote w:type="continuationSeparator" w:id="0">
    <w:p w14:paraId="3E054D4C" w14:textId="77777777" w:rsidR="007667C9" w:rsidRDefault="007667C9" w:rsidP="0086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07633"/>
      <w:docPartObj>
        <w:docPartGallery w:val="Page Numbers (Bottom of Page)"/>
        <w:docPartUnique/>
      </w:docPartObj>
    </w:sdtPr>
    <w:sdtEndPr/>
    <w:sdtContent>
      <w:p w14:paraId="753C7CFE" w14:textId="53004EE2" w:rsidR="00865576" w:rsidRDefault="0086557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986" w:rsidRPr="00530986">
          <w:rPr>
            <w:noProof/>
            <w:lang w:val="zh-TW"/>
          </w:rPr>
          <w:t>1</w:t>
        </w:r>
        <w:r>
          <w:fldChar w:fldCharType="end"/>
        </w:r>
      </w:p>
    </w:sdtContent>
  </w:sdt>
  <w:p w14:paraId="1CC55F10" w14:textId="77777777" w:rsidR="00865576" w:rsidRDefault="008655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1471" w14:textId="77777777" w:rsidR="007667C9" w:rsidRDefault="007667C9" w:rsidP="00865576">
      <w:r>
        <w:separator/>
      </w:r>
    </w:p>
  </w:footnote>
  <w:footnote w:type="continuationSeparator" w:id="0">
    <w:p w14:paraId="2542E58C" w14:textId="77777777" w:rsidR="007667C9" w:rsidRDefault="007667C9" w:rsidP="0086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C41"/>
    <w:rsid w:val="000D1BA2"/>
    <w:rsid w:val="000E56AD"/>
    <w:rsid w:val="001202AF"/>
    <w:rsid w:val="0021785C"/>
    <w:rsid w:val="002403AA"/>
    <w:rsid w:val="002A2EC1"/>
    <w:rsid w:val="002A692C"/>
    <w:rsid w:val="002B1BBB"/>
    <w:rsid w:val="00356993"/>
    <w:rsid w:val="003F0E25"/>
    <w:rsid w:val="003F7BD8"/>
    <w:rsid w:val="00414F2C"/>
    <w:rsid w:val="004A391A"/>
    <w:rsid w:val="0050176F"/>
    <w:rsid w:val="00530986"/>
    <w:rsid w:val="00544C41"/>
    <w:rsid w:val="006419F2"/>
    <w:rsid w:val="00655CE7"/>
    <w:rsid w:val="006629A3"/>
    <w:rsid w:val="00673B37"/>
    <w:rsid w:val="006A555A"/>
    <w:rsid w:val="007667C9"/>
    <w:rsid w:val="00831D0B"/>
    <w:rsid w:val="00865576"/>
    <w:rsid w:val="00914B90"/>
    <w:rsid w:val="00931D8D"/>
    <w:rsid w:val="00952429"/>
    <w:rsid w:val="00990B1A"/>
    <w:rsid w:val="00A119E3"/>
    <w:rsid w:val="00A632AC"/>
    <w:rsid w:val="00A945FE"/>
    <w:rsid w:val="00AB4410"/>
    <w:rsid w:val="00AE4371"/>
    <w:rsid w:val="00B00E17"/>
    <w:rsid w:val="00C22BBB"/>
    <w:rsid w:val="00CC0BD8"/>
    <w:rsid w:val="00D33090"/>
    <w:rsid w:val="00D73F4E"/>
    <w:rsid w:val="00DF5159"/>
    <w:rsid w:val="00E24B9A"/>
    <w:rsid w:val="00E725AE"/>
    <w:rsid w:val="00E73472"/>
    <w:rsid w:val="00F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2E55A0"/>
  <w15:chartTrackingRefBased/>
  <w15:docId w15:val="{2F898235-9AFA-44F6-85A5-F075785E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50176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textAlignment w:val="baseline"/>
    </w:pPr>
    <w:rPr>
      <w:rFonts w:ascii="Times New Roman" w:eastAsia="新細明體" w:hAnsi="Times New Roman" w:cs="Times New Roman"/>
      <w:szCs w:val="20"/>
    </w:rPr>
  </w:style>
  <w:style w:type="character" w:customStyle="1" w:styleId="a4">
    <w:name w:val="本文 字元"/>
    <w:basedOn w:val="a0"/>
    <w:link w:val="a3"/>
    <w:rsid w:val="0050176F"/>
    <w:rPr>
      <w:rFonts w:ascii="Times New Roman" w:eastAsia="新細明體" w:hAnsi="Times New Roman" w:cs="Times New Roman"/>
      <w:szCs w:val="20"/>
    </w:rPr>
  </w:style>
  <w:style w:type="paragraph" w:styleId="a5">
    <w:name w:val="header"/>
    <w:basedOn w:val="a"/>
    <w:link w:val="a6"/>
    <w:uiPriority w:val="99"/>
    <w:unhideWhenUsed/>
    <w:rsid w:val="00865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557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5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5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4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張耀升</dc:creator>
  <cp:keywords/>
  <dc:description/>
  <cp:lastModifiedBy>鎮仰 余</cp:lastModifiedBy>
  <cp:revision>2</cp:revision>
  <dcterms:created xsi:type="dcterms:W3CDTF">2022-12-21T01:34:00Z</dcterms:created>
  <dcterms:modified xsi:type="dcterms:W3CDTF">2022-12-21T01:34:00Z</dcterms:modified>
</cp:coreProperties>
</file>