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2"/>
        </w:rPr>
        <w:t>Annual Budget Report FY 2025</w:t>
      </w:r>
    </w:p>
    <w:p>
      <w:r>
        <w:t>This report presents the comprehensive budget for fiscal year 2025 across all departments.</w:t>
      </w:r>
    </w:p>
    <w:p>
      <w:pPr>
        <w:pStyle w:val="Heading1"/>
      </w:pPr>
      <w:r>
        <w:t>Department Budget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FFFFFF"/>
              </w:rPr>
              <w:t>Department</w:t>
            </w:r>
          </w:p>
        </w:tc>
        <w:tc>
          <w:tcPr>
            <w:tcW w:type="dxa" w:w="1728"/>
          </w:tcPr>
          <w:p>
            <w:r>
              <w:rPr>
                <w:b/>
                <w:color w:val="FFFFFF"/>
              </w:rPr>
              <w:t>Q1 Budget</w:t>
            </w:r>
          </w:p>
        </w:tc>
        <w:tc>
          <w:tcPr>
            <w:tcW w:type="dxa" w:w="1728"/>
          </w:tcPr>
          <w:p>
            <w:r>
              <w:rPr>
                <w:b/>
                <w:color w:val="FFFFFF"/>
              </w:rPr>
              <w:t>Q2 Budget</w:t>
            </w:r>
          </w:p>
        </w:tc>
        <w:tc>
          <w:tcPr>
            <w:tcW w:type="dxa" w:w="1728"/>
          </w:tcPr>
          <w:p>
            <w:r>
              <w:rPr>
                <w:b/>
                <w:color w:val="FFFFFF"/>
              </w:rPr>
              <w:t>Q3 Budget</w:t>
            </w:r>
          </w:p>
        </w:tc>
        <w:tc>
          <w:tcPr>
            <w:tcW w:type="dxa" w:w="1728"/>
          </w:tcPr>
          <w:p>
            <w:r>
              <w:rPr>
                <w:b/>
                <w:color w:val="FFFFFF"/>
              </w:rPr>
              <w:t>Q4 Budget</w:t>
            </w:r>
          </w:p>
        </w:tc>
      </w:tr>
      <w:tr>
        <w:tc>
          <w:tcPr>
            <w:tcW w:type="dxa" w:w="1728"/>
          </w:tcPr>
          <w:p>
            <w:r>
              <w:t>Sales &amp; Marketing</w:t>
            </w:r>
          </w:p>
        </w:tc>
        <w:tc>
          <w:tcPr>
            <w:tcW w:type="dxa" w:w="1728"/>
          </w:tcPr>
          <w:p>
            <w:r>
              <w:t>$1,250,000</w:t>
            </w:r>
          </w:p>
        </w:tc>
        <w:tc>
          <w:tcPr>
            <w:tcW w:type="dxa" w:w="1728"/>
          </w:tcPr>
          <w:p>
            <w:r>
              <w:t>$1,312,500</w:t>
            </w:r>
          </w:p>
        </w:tc>
        <w:tc>
          <w:tcPr>
            <w:tcW w:type="dxa" w:w="1728"/>
          </w:tcPr>
          <w:p>
            <w:r>
              <w:t>$1,378,125</w:t>
            </w:r>
          </w:p>
        </w:tc>
        <w:tc>
          <w:tcPr>
            <w:tcW w:type="dxa" w:w="1728"/>
          </w:tcPr>
          <w:p>
            <w:r>
              <w:t>$1,447,031</w:t>
            </w:r>
          </w:p>
        </w:tc>
      </w:tr>
      <w:tr>
        <w:tc>
          <w:tcPr>
            <w:tcW w:type="dxa" w:w="1728"/>
          </w:tcPr>
          <w:p>
            <w:r>
              <w:t>Underwriting</w:t>
            </w:r>
          </w:p>
        </w:tc>
        <w:tc>
          <w:tcPr>
            <w:tcW w:type="dxa" w:w="1728"/>
          </w:tcPr>
          <w:p>
            <w:r>
              <w:t>$875,000</w:t>
            </w:r>
          </w:p>
        </w:tc>
        <w:tc>
          <w:tcPr>
            <w:tcW w:type="dxa" w:w="1728"/>
          </w:tcPr>
          <w:p>
            <w:r>
              <w:t>$918,750</w:t>
            </w:r>
          </w:p>
        </w:tc>
        <w:tc>
          <w:tcPr>
            <w:tcW w:type="dxa" w:w="1728"/>
          </w:tcPr>
          <w:p>
            <w:r>
              <w:t>$964,688</w:t>
            </w:r>
          </w:p>
        </w:tc>
        <w:tc>
          <w:tcPr>
            <w:tcW w:type="dxa" w:w="1728"/>
          </w:tcPr>
          <w:p>
            <w:r>
              <w:t>$1,012,922</w:t>
            </w:r>
          </w:p>
        </w:tc>
      </w:tr>
      <w:tr>
        <w:tc>
          <w:tcPr>
            <w:tcW w:type="dxa" w:w="1728"/>
          </w:tcPr>
          <w:p>
            <w:r>
              <w:t>Claims Processing</w:t>
            </w:r>
          </w:p>
        </w:tc>
        <w:tc>
          <w:tcPr>
            <w:tcW w:type="dxa" w:w="1728"/>
          </w:tcPr>
          <w:p>
            <w:r>
              <w:t>$650,000</w:t>
            </w:r>
          </w:p>
        </w:tc>
        <w:tc>
          <w:tcPr>
            <w:tcW w:type="dxa" w:w="1728"/>
          </w:tcPr>
          <w:p>
            <w:r>
              <w:t>$682,500</w:t>
            </w:r>
          </w:p>
        </w:tc>
        <w:tc>
          <w:tcPr>
            <w:tcW w:type="dxa" w:w="1728"/>
          </w:tcPr>
          <w:p>
            <w:r>
              <w:t>$716,625</w:t>
            </w:r>
          </w:p>
        </w:tc>
        <w:tc>
          <w:tcPr>
            <w:tcW w:type="dxa" w:w="1728"/>
          </w:tcPr>
          <w:p>
            <w:r>
              <w:t>$752,456</w:t>
            </w:r>
          </w:p>
        </w:tc>
      </w:tr>
      <w:tr>
        <w:tc>
          <w:tcPr>
            <w:tcW w:type="dxa" w:w="1728"/>
          </w:tcPr>
          <w:p>
            <w:r>
              <w:t>IT &amp; Operations</w:t>
            </w:r>
          </w:p>
        </w:tc>
        <w:tc>
          <w:tcPr>
            <w:tcW w:type="dxa" w:w="1728"/>
          </w:tcPr>
          <w:p>
            <w:r>
              <w:t>$450,000</w:t>
            </w:r>
          </w:p>
        </w:tc>
        <w:tc>
          <w:tcPr>
            <w:tcW w:type="dxa" w:w="1728"/>
          </w:tcPr>
          <w:p>
            <w:r>
              <w:t>$472,500</w:t>
            </w:r>
          </w:p>
        </w:tc>
        <w:tc>
          <w:tcPr>
            <w:tcW w:type="dxa" w:w="1728"/>
          </w:tcPr>
          <w:p>
            <w:r>
              <w:t>$496,125</w:t>
            </w:r>
          </w:p>
        </w:tc>
        <w:tc>
          <w:tcPr>
            <w:tcW w:type="dxa" w:w="1728"/>
          </w:tcPr>
          <w:p>
            <w:r>
              <w:t>$520,931</w:t>
            </w:r>
          </w:p>
        </w:tc>
      </w:tr>
      <w:tr>
        <w:tc>
          <w:tcPr>
            <w:tcW w:type="dxa" w:w="1728"/>
          </w:tcPr>
          <w:p>
            <w:r>
              <w:t>HR &amp; Admin</w:t>
            </w:r>
          </w:p>
        </w:tc>
        <w:tc>
          <w:tcPr>
            <w:tcW w:type="dxa" w:w="1728"/>
          </w:tcPr>
          <w:p>
            <w:r>
              <w:t>$275,000</w:t>
            </w:r>
          </w:p>
        </w:tc>
        <w:tc>
          <w:tcPr>
            <w:tcW w:type="dxa" w:w="1728"/>
          </w:tcPr>
          <w:p>
            <w:r>
              <w:t>$288,750</w:t>
            </w:r>
          </w:p>
        </w:tc>
        <w:tc>
          <w:tcPr>
            <w:tcW w:type="dxa" w:w="1728"/>
          </w:tcPr>
          <w:p>
            <w:r>
              <w:t>$303,188</w:t>
            </w:r>
          </w:p>
        </w:tc>
        <w:tc>
          <w:tcPr>
            <w:tcW w:type="dxa" w:w="1728"/>
          </w:tcPr>
          <w:p>
            <w:r>
              <w:t>$318,347</w:t>
            </w:r>
          </w:p>
        </w:tc>
      </w:tr>
      <w:tr>
        <w:tc>
          <w:tcPr>
            <w:tcW w:type="dxa" w:w="1728"/>
          </w:tcPr>
          <w:p>
            <w:r>
              <w:t>Legal &amp; Compliance</w:t>
            </w:r>
          </w:p>
        </w:tc>
        <w:tc>
          <w:tcPr>
            <w:tcW w:type="dxa" w:w="1728"/>
          </w:tcPr>
          <w:p>
            <w:r>
              <w:t>$180,000</w:t>
            </w:r>
          </w:p>
        </w:tc>
        <w:tc>
          <w:tcPr>
            <w:tcW w:type="dxa" w:w="1728"/>
          </w:tcPr>
          <w:p>
            <w:r>
              <w:t>$189,000</w:t>
            </w:r>
          </w:p>
        </w:tc>
        <w:tc>
          <w:tcPr>
            <w:tcW w:type="dxa" w:w="1728"/>
          </w:tcPr>
          <w:p>
            <w:r>
              <w:t>$198,450</w:t>
            </w:r>
          </w:p>
        </w:tc>
        <w:tc>
          <w:tcPr>
            <w:tcW w:type="dxa" w:w="1728"/>
          </w:tcPr>
          <w:p>
            <w:r>
              <w:t>$208,373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$3,680,000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$3,864,000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$4,057,076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$4,260,060</w:t>
            </w:r>
          </w:p>
        </w:tc>
      </w:tr>
    </w:tbl>
    <w:p/>
    <w:p>
      <w:pPr>
        <w:pStyle w:val="Heading1"/>
      </w:pPr>
      <w:r>
        <w:t>Expense Breakdown by Category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Annual Budget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of 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YTD Actual</w:t>
            </w:r>
          </w:p>
        </w:tc>
      </w:tr>
      <w:tr>
        <w:tc>
          <w:tcPr>
            <w:tcW w:type="dxa" w:w="2160"/>
          </w:tcPr>
          <w:p>
            <w:r>
              <w:t>Personnel Costs</w:t>
            </w:r>
          </w:p>
        </w:tc>
        <w:tc>
          <w:tcPr>
            <w:tcW w:type="dxa" w:w="2160"/>
          </w:tcPr>
          <w:p>
            <w:r>
              <w:t>$4,200,000</w:t>
            </w:r>
          </w:p>
        </w:tc>
        <w:tc>
          <w:tcPr>
            <w:tcW w:type="dxa" w:w="2160"/>
          </w:tcPr>
          <w:p>
            <w:r>
              <w:t>58%</w:t>
            </w:r>
          </w:p>
        </w:tc>
        <w:tc>
          <w:tcPr>
            <w:tcW w:type="dxa" w:w="2160"/>
          </w:tcPr>
          <w:p>
            <w:r>
              <w:t>$2,100,000</w:t>
            </w:r>
          </w:p>
        </w:tc>
      </w:tr>
      <w:tr>
        <w:tc>
          <w:tcPr>
            <w:tcW w:type="dxa" w:w="2160"/>
          </w:tcPr>
          <w:p>
            <w:r>
              <w:t>Technology &amp; Software</w:t>
            </w:r>
          </w:p>
        </w:tc>
        <w:tc>
          <w:tcPr>
            <w:tcW w:type="dxa" w:w="2160"/>
          </w:tcPr>
          <w:p>
            <w:r>
              <w:t>$1,850,000</w:t>
            </w:r>
          </w:p>
        </w:tc>
        <w:tc>
          <w:tcPr>
            <w:tcW w:type="dxa" w:w="2160"/>
          </w:tcPr>
          <w:p>
            <w:r>
              <w:t>26%</w:t>
            </w:r>
          </w:p>
        </w:tc>
        <w:tc>
          <w:tcPr>
            <w:tcW w:type="dxa" w:w="2160"/>
          </w:tcPr>
          <w:p>
            <w:r>
              <w:t>$925,000</w:t>
            </w:r>
          </w:p>
        </w:tc>
      </w:tr>
      <w:tr>
        <w:tc>
          <w:tcPr>
            <w:tcW w:type="dxa" w:w="2160"/>
          </w:tcPr>
          <w:p>
            <w:r>
              <w:t>Office &amp; Facilities</w:t>
            </w:r>
          </w:p>
        </w:tc>
        <w:tc>
          <w:tcPr>
            <w:tcW w:type="dxa" w:w="2160"/>
          </w:tcPr>
          <w:p>
            <w:r>
              <w:t>$680,000</w:t>
            </w:r>
          </w:p>
        </w:tc>
        <w:tc>
          <w:tcPr>
            <w:tcW w:type="dxa" w:w="2160"/>
          </w:tcPr>
          <w:p>
            <w:r>
              <w:t>9%</w:t>
            </w:r>
          </w:p>
        </w:tc>
        <w:tc>
          <w:tcPr>
            <w:tcW w:type="dxa" w:w="2160"/>
          </w:tcPr>
          <w:p>
            <w:r>
              <w:t>$340,000</w:t>
            </w:r>
          </w:p>
        </w:tc>
      </w:tr>
      <w:tr>
        <w:tc>
          <w:tcPr>
            <w:tcW w:type="dxa" w:w="2160"/>
          </w:tcPr>
          <w:p>
            <w:r>
              <w:t>Professional Services</w:t>
            </w:r>
          </w:p>
        </w:tc>
        <w:tc>
          <w:tcPr>
            <w:tcW w:type="dxa" w:w="2160"/>
          </w:tcPr>
          <w:p>
            <w:r>
              <w:t>$350,000</w:t>
            </w:r>
          </w:p>
        </w:tc>
        <w:tc>
          <w:tcPr>
            <w:tcW w:type="dxa" w:w="2160"/>
          </w:tcPr>
          <w:p>
            <w:r>
              <w:t>5%</w:t>
            </w:r>
          </w:p>
        </w:tc>
        <w:tc>
          <w:tcPr>
            <w:tcW w:type="dxa" w:w="2160"/>
          </w:tcPr>
          <w:p>
            <w:r>
              <w:t>$175,000</w:t>
            </w:r>
          </w:p>
        </w:tc>
      </w:tr>
      <w:tr>
        <w:tc>
          <w:tcPr>
            <w:tcW w:type="dxa" w:w="2160"/>
          </w:tcPr>
          <w:p>
            <w:r>
              <w:t>Travel &amp; Entertainment</w:t>
            </w:r>
          </w:p>
        </w:tc>
        <w:tc>
          <w:tcPr>
            <w:tcW w:type="dxa" w:w="2160"/>
          </w:tcPr>
          <w:p>
            <w:r>
              <w:t>$181,076</w:t>
            </w:r>
          </w:p>
        </w:tc>
        <w:tc>
          <w:tcPr>
            <w:tcW w:type="dxa" w:w="2160"/>
          </w:tcPr>
          <w:p>
            <w:r>
              <w:t>3%</w:t>
            </w:r>
          </w:p>
        </w:tc>
        <w:tc>
          <w:tcPr>
            <w:tcW w:type="dxa" w:w="2160"/>
          </w:tcPr>
          <w:p>
            <w:r>
              <w:t>$90,538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$7,261,076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$3,630,538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