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6E9492F9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</w:t>
      </w:r>
      <w:proofErr w:type="spellStart"/>
      <w:r>
        <w:rPr>
          <w:b/>
          <w:bCs/>
          <w:color w:val="AB7942"/>
          <w:szCs w:val="28"/>
        </w:rPr>
        <w:t>Requirements</w:t>
      </w:r>
      <w:proofErr w:type="spellEnd"/>
      <w:r>
        <w:rPr>
          <w:b/>
          <w:bCs/>
          <w:color w:val="AB7942"/>
          <w:szCs w:val="28"/>
        </w:rPr>
        <w:t xml:space="preserve">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MP2, CP2</w:t>
            </w:r>
          </w:p>
          <w:p w14:paraId="4116DEB2" w14:textId="77777777" w:rsidR="005A0B0C" w:rsidRPr="002B3434" w:rsidRDefault="005A0B0C">
            <w:pPr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0465BCBF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EE6D782" w14:textId="77777777">
        <w:tc>
          <w:tcPr>
            <w:tcW w:w="9627" w:type="dxa"/>
            <w:gridSpan w:val="2"/>
            <w:shd w:val="clear" w:color="auto" w:fill="AB7942"/>
          </w:tcPr>
          <w:p w14:paraId="4E069D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lastRenderedPageBreak/>
              <w:t>Parametro: Titolo</w:t>
            </w:r>
          </w:p>
        </w:tc>
      </w:tr>
      <w:tr w:rsidR="005A0B0C" w14:paraId="303FB391" w14:textId="77777777">
        <w:tc>
          <w:tcPr>
            <w:tcW w:w="4814" w:type="dxa"/>
            <w:shd w:val="clear" w:color="auto" w:fill="AB7942"/>
          </w:tcPr>
          <w:p w14:paraId="28E67AB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2CFE3B8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5A0B0C" w14:paraId="381FA2BF" w14:textId="77777777">
        <w:tc>
          <w:tcPr>
            <w:tcW w:w="4814" w:type="dxa"/>
            <w:shd w:val="clear" w:color="auto" w:fill="AB7942"/>
          </w:tcPr>
          <w:p w14:paraId="16D89A9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EB06A2E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20E624D4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5A0B0C" w14:paraId="72F69027" w14:textId="77777777">
        <w:tc>
          <w:tcPr>
            <w:tcW w:w="4814" w:type="dxa"/>
            <w:shd w:val="clear" w:color="auto" w:fill="AB7942"/>
          </w:tcPr>
          <w:p w14:paraId="30B3490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6905BB54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1BF07649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p w14:paraId="244A5376" w14:textId="77777777" w:rsidR="005A0B0C" w:rsidRDefault="005A0B0C">
      <w:pPr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Default="005A0B0C">
      <w:pPr>
        <w:rPr>
          <w:color w:val="C00000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39D2004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5BC5C8A4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Default="005A0B0C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data </w:t>
            </w:r>
            <w:r w:rsidR="002B3434">
              <w:rPr>
                <w:rFonts w:eastAsia="Calibri"/>
                <w:color w:val="000000" w:themeColor="text1"/>
              </w:rPr>
              <w:t>precedente alla data odierna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</w:t>
            </w:r>
            <w:r w:rsidR="002B3434">
              <w:rPr>
                <w:rFonts w:eastAsia="Calibri"/>
                <w:color w:val="000000" w:themeColor="text1"/>
              </w:rPr>
              <w:t>è nullo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ABF5" w14:textId="77777777" w:rsidR="008C29FE" w:rsidRDefault="008C29FE">
      <w:r>
        <w:separator/>
      </w:r>
    </w:p>
  </w:endnote>
  <w:endnote w:type="continuationSeparator" w:id="0">
    <w:p w14:paraId="32E18D6B" w14:textId="77777777" w:rsidR="008C29FE" w:rsidRDefault="008C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2070" w14:textId="77777777" w:rsidR="008C29FE" w:rsidRDefault="008C29FE">
      <w:r>
        <w:separator/>
      </w:r>
    </w:p>
  </w:footnote>
  <w:footnote w:type="continuationSeparator" w:id="0">
    <w:p w14:paraId="4BF293A6" w14:textId="77777777" w:rsidR="008C29FE" w:rsidRDefault="008C2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2B3434"/>
    <w:rsid w:val="00380479"/>
    <w:rsid w:val="005A0B0C"/>
    <w:rsid w:val="006F2859"/>
    <w:rsid w:val="008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14</cp:revision>
  <dcterms:created xsi:type="dcterms:W3CDTF">2023-02-09T16:50:00Z</dcterms:created>
  <dcterms:modified xsi:type="dcterms:W3CDTF">2023-02-14T16:21:00Z</dcterms:modified>
  <dc:language>it-IT</dc:language>
</cp:coreProperties>
</file>