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20963B9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  <w:p w14:paraId="49DD7955" w14:textId="77777777" w:rsidR="00E608B5" w:rsidRDefault="00E608B5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  <w:p w14:paraId="4090E801" w14:textId="77777777" w:rsidR="00E608B5" w:rsidRDefault="00E608B5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  <w:p w14:paraId="5C23F2C6" w14:textId="77777777" w:rsidR="00E608B5" w:rsidRDefault="00E608B5" w:rsidP="00E608B5">
            <w:pPr>
              <w:spacing w:after="0" w:line="276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Riferimenti utili</w:t>
            </w:r>
          </w:p>
          <w:p w14:paraId="6A257A1B" w14:textId="77777777" w:rsidR="00E608B5" w:rsidRDefault="00E608B5" w:rsidP="00E60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I test citati in questo documento derivano dall’analisi effettuata nel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TP (Test Plan)</w:t>
            </w:r>
          </w:p>
          <w:p w14:paraId="3ACA5864" w14:textId="77777777" w:rsidR="00E608B5" w:rsidRDefault="00E608B5" w:rsidP="00E60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L’oracolo e le specifiche dei test rispettano quanto definito sul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TCS (Test Case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Specification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)</w:t>
            </w:r>
          </w:p>
          <w:p w14:paraId="7FADD475" w14:textId="77777777" w:rsidR="00E608B5" w:rsidRDefault="00E608B5" w:rsidP="00E608B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Questo documento rappresenta un sommario di quanto riportato nel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TIR (Test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Report)</w:t>
            </w:r>
          </w:p>
          <w:p w14:paraId="4ABC8E6E" w14:textId="77777777" w:rsidR="00E608B5" w:rsidRDefault="00E608B5" w:rsidP="00E60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14:paraId="3EB0EA9A" w14:textId="77777777" w:rsidR="00E608B5" w:rsidRDefault="00E608B5" w:rsidP="00E608B5">
            <w:pPr>
              <w:keepNext/>
              <w:keepLines/>
              <w:numPr>
                <w:ilvl w:val="0"/>
                <w:numId w:val="2"/>
              </w:numPr>
              <w:pBdr>
                <w:bottom w:val="single" w:sz="4" w:space="1" w:color="DEEAF6"/>
              </w:pBdr>
              <w:spacing w:before="120" w:after="120" w:line="360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Ambiente di esecuzione</w:t>
            </w:r>
          </w:p>
          <w:p w14:paraId="2424EB37" w14:textId="77777777" w:rsidR="00E608B5" w:rsidRDefault="00E608B5" w:rsidP="00E60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Tutti gli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unit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test sono stati effettuati con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JUnit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4.13.2, per quelli di sistema ci si è affidati alla verifica umana senza tool particolari.</w:t>
            </w:r>
          </w:p>
          <w:p w14:paraId="37606B95" w14:textId="77777777" w:rsidR="00E608B5" w:rsidRDefault="00E608B5" w:rsidP="00E60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090BFB5D" w14:textId="77777777" w:rsidR="00E608B5" w:rsidRDefault="00E608B5" w:rsidP="00E608B5">
            <w:pPr>
              <w:keepNext/>
              <w:keepLines/>
              <w:numPr>
                <w:ilvl w:val="0"/>
                <w:numId w:val="2"/>
              </w:numPr>
              <w:pBdr>
                <w:bottom w:val="single" w:sz="4" w:space="1" w:color="DEEAF6"/>
              </w:pBdr>
              <w:spacing w:before="120" w:after="120" w:line="360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Test di unità</w:t>
            </w:r>
          </w:p>
          <w:p w14:paraId="04724503" w14:textId="55A638B2" w:rsidR="00E608B5" w:rsidRPr="00E608B5" w:rsidRDefault="00E608B5" w:rsidP="00E60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Di seguito vengono riportati per chiarezza i Test Case esaminati</w:t>
            </w:r>
          </w:p>
        </w:tc>
      </w:tr>
    </w:tbl>
    <w:p w14:paraId="5F14013F" w14:textId="77777777" w:rsidR="00A15AEE" w:rsidRDefault="00A15AEE" w:rsidP="00E60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 w:rsidTr="00465A25"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  <w:proofErr w:type="spellEnd"/>
          </w:p>
        </w:tc>
      </w:tr>
      <w:tr w:rsidR="00A15AEE" w14:paraId="2BD8286F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  <w:proofErr w:type="spellEnd"/>
          </w:p>
        </w:tc>
      </w:tr>
      <w:tr w:rsidR="00A15AEE" w14:paraId="38F7E388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BD854D4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43F8464E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evento per data e provincia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D3DFB8C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gestoneEventi.gestoneEventiServiceImpl</w:t>
            </w:r>
            <w:proofErr w:type="spell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0021F74E" w:rsidR="00A15AEE" w:rsidRPr="0066321B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doRetriveBySearch</w:t>
            </w:r>
            <w:proofErr w:type="spellEnd"/>
          </w:p>
        </w:tc>
      </w:tr>
      <w:tr w:rsidR="0066321B" w14:paraId="726358BE" w14:textId="77777777" w:rsidTr="00465A25"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A0C2" w14:textId="5BBDDF61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6BB" w14:textId="636C2EF6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1A5C" w14:textId="0DAB63A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gestioneDatiGestore.gestioneGestoreImpl</w:t>
            </w:r>
            <w:proofErr w:type="spellEnd"/>
          </w:p>
        </w:tc>
        <w:tc>
          <w:tcPr>
            <w:tcW w:w="2229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17BC" w14:textId="74214857" w:rsidR="0066321B" w:rsidRP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Times New Roman" w:hAnsi="Garamond" w:cs="Courier New"/>
                <w:color w:val="000000" w:themeColor="text1"/>
                <w:sz w:val="20"/>
                <w:szCs w:val="20"/>
                <w:u w:val="single"/>
                <w:lang w:eastAsia="it-IT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doModificaCampo</w:t>
            </w:r>
            <w:proofErr w:type="spellEnd"/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 w:rsidP="00E608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465A25">
        <w:tc>
          <w:tcPr>
            <w:tcW w:w="192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56F61F9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1928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0FE3E86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</w:tr>
      <w:tr w:rsidR="00A15AEE" w14:paraId="5EA51D5D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4FE01A19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Giugliano Annachiara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5112A95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Tammaro Carlo</w:t>
            </w:r>
          </w:p>
        </w:tc>
      </w:tr>
      <w:tr w:rsidR="00A15AEE" w14:paraId="498C0B9E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4BFA24C1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Ricerca per data e </w:t>
            </w:r>
            <w:r w:rsidR="0066321B">
              <w:rPr>
                <w:rFonts w:ascii="Garamond" w:eastAsia="Garamond" w:hAnsi="Garamond" w:cs="Garamond"/>
                <w:sz w:val="24"/>
                <w:szCs w:val="24"/>
              </w:rPr>
              <w:t>provincia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2E74C769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</w:tr>
      <w:tr w:rsidR="00A15AEE" w14:paraId="0AE5F5B1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634EE54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  <w:r w:rsidR="005C25E8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2A24DD6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6961B9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5EDFC0E7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3233DD4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243A09FC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A15AEE" w14:paraId="6D4D464B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08A8A7C6" w:rsid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44DA82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2129839C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898D9F5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5C25E8"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58BBC051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66321B" w:rsidRPr="007C2BEF" w14:paraId="138EBED9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ADEF" w14:textId="3010090E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3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000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FFE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8B65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7D67" w14:textId="742E3D04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66321B" w14:paraId="342B2A2C" w14:textId="77777777" w:rsidTr="00465A25"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2AC9" w14:textId="3853D070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3</w:t>
            </w:r>
          </w:p>
        </w:tc>
        <w:tc>
          <w:tcPr>
            <w:tcW w:w="192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5A4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1E5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EFF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D966" w14:textId="42D7A87D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Arial" w:hAnsi="Garamond" w:cs="Arial"/>
          <w:sz w:val="24"/>
          <w:szCs w:val="24"/>
        </w:rPr>
        <w:t xml:space="preserve">Come il testing di unità, anche il testing di sistema è stato eseguito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, secondo gli input individuati nel TP. Pertanto:</w:t>
      </w:r>
    </w:p>
    <w:p w14:paraId="134749E8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Arial" w:hAnsi="Garamond" w:cs="Arial"/>
          <w:sz w:val="24"/>
          <w:szCs w:val="24"/>
        </w:rPr>
      </w:pPr>
    </w:p>
    <w:p w14:paraId="30EB1723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l'esito è Success se il sistema ha prodotto il risultato atteso per tutti 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>;</w:t>
      </w:r>
    </w:p>
    <w:p w14:paraId="45E359A1" w14:textId="77777777" w:rsidR="00A15AEE" w:rsidRPr="007C2BEF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Arial" w:hAnsi="Garamond" w:cs="Arial"/>
          <w:sz w:val="24"/>
          <w:szCs w:val="24"/>
        </w:rPr>
      </w:pPr>
    </w:p>
    <w:p w14:paraId="3DF24D01" w14:textId="77777777" w:rsidR="00A15AEE" w:rsidRPr="007C2BE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 w:rsidRPr="007C2BEF">
        <w:rPr>
          <w:rFonts w:ascii="Garamond" w:eastAsia="Times New Roman" w:hAnsi="Garamond" w:cs="Times New Roman"/>
          <w:sz w:val="24"/>
          <w:szCs w:val="24"/>
        </w:rPr>
        <w:t xml:space="preserve">● </w:t>
      </w:r>
      <w:r w:rsidRPr="007C2BEF">
        <w:rPr>
          <w:rFonts w:ascii="Garamond" w:eastAsia="Arial" w:hAnsi="Garamond" w:cs="Arial"/>
          <w:sz w:val="24"/>
          <w:szCs w:val="24"/>
        </w:rPr>
        <w:t xml:space="preserve">l’esito è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Failed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se per almeno uno degli input individuati tramite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category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</w:t>
      </w:r>
      <w:proofErr w:type="spellStart"/>
      <w:r w:rsidRPr="007C2BEF">
        <w:rPr>
          <w:rFonts w:ascii="Garamond" w:eastAsia="Arial" w:hAnsi="Garamond" w:cs="Arial"/>
          <w:sz w:val="24"/>
          <w:szCs w:val="24"/>
        </w:rPr>
        <w:t>partition</w:t>
      </w:r>
      <w:proofErr w:type="spellEnd"/>
      <w:r w:rsidRPr="007C2BEF">
        <w:rPr>
          <w:rFonts w:ascii="Garamond" w:eastAsia="Arial" w:hAnsi="Garamond" w:cs="Arial"/>
          <w:sz w:val="24"/>
          <w:szCs w:val="24"/>
        </w:rPr>
        <w:t xml:space="preserve">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A788" w14:textId="77777777" w:rsidR="00004C61" w:rsidRDefault="00004C61">
      <w:pPr>
        <w:spacing w:after="0" w:line="240" w:lineRule="auto"/>
      </w:pPr>
      <w:r>
        <w:separator/>
      </w:r>
    </w:p>
  </w:endnote>
  <w:endnote w:type="continuationSeparator" w:id="0">
    <w:p w14:paraId="6FA28F73" w14:textId="77777777" w:rsidR="00004C61" w:rsidRDefault="0000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DADE" w14:textId="77777777" w:rsidR="00004C61" w:rsidRDefault="00004C61">
      <w:pPr>
        <w:spacing w:after="0" w:line="240" w:lineRule="auto"/>
      </w:pPr>
      <w:r>
        <w:separator/>
      </w:r>
    </w:p>
  </w:footnote>
  <w:footnote w:type="continuationSeparator" w:id="0">
    <w:p w14:paraId="21CE1350" w14:textId="77777777" w:rsidR="00004C61" w:rsidRDefault="00004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20122BBC" w:rsidR="00A15AEE" w:rsidRDefault="00E608B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A8C1BC7">
          <wp:simplePos x="0" y="0"/>
          <wp:positionH relativeFrom="column">
            <wp:posOffset>-694899</wp:posOffset>
          </wp:positionH>
          <wp:positionV relativeFrom="paragraph">
            <wp:posOffset>-435917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01ADA8" w14:textId="7FB9F62F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157AB8D9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004C61"/>
    <w:rsid w:val="000273A9"/>
    <w:rsid w:val="00465A25"/>
    <w:rsid w:val="005C25E8"/>
    <w:rsid w:val="0066321B"/>
    <w:rsid w:val="007C2BEF"/>
    <w:rsid w:val="00A15AEE"/>
    <w:rsid w:val="00A74CFC"/>
    <w:rsid w:val="00C74154"/>
    <w:rsid w:val="00C91666"/>
    <w:rsid w:val="00CC2E58"/>
    <w:rsid w:val="00E608B5"/>
    <w:rsid w:val="00F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Carlo Tammaro</cp:lastModifiedBy>
  <cp:revision>8</cp:revision>
  <dcterms:created xsi:type="dcterms:W3CDTF">2022-10-14T16:04:00Z</dcterms:created>
  <dcterms:modified xsi:type="dcterms:W3CDTF">2023-02-16T18:35:00Z</dcterms:modified>
</cp:coreProperties>
</file>