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sz w:val="72"/>
          <w:szCs w:val="72"/>
        </w:rPr>
        <w:t xml:space="preserve">🏗</w:t>
      </w:r>
    </w:p>
    <w:p>
      <w:pPr>
        <w:spacing w:after="80"/>
        <w:jc w:val="center"/>
      </w:pPr>
      <w:r>
        <w:rPr>
          <w:rFonts w:ascii="Calibri" w:cs="Calibri" w:eastAsia="Calibri" w:hAnsi="Calibri"/>
          <w:b/>
          <w:bCs/>
          <w:color w:val="2563EB"/>
          <w:sz w:val="48"/>
          <w:szCs w:val="48"/>
        </w:rPr>
        <w:t xml:space="preserve">CONSTRUCTION INTELLIGENCE HUB</w:t>
      </w:r>
    </w:p>
    <w:p>
      <w:pPr>
        <w:spacing w:after="600"/>
        <w:jc w:val="center"/>
      </w:pPr>
      <w:r>
        <w:rPr>
          <w:rFonts w:ascii="Calibri" w:cs="Calibri" w:eastAsia="Calibri" w:hAnsi="Calibri"/>
          <w:i/>
          <w:iCs/>
          <w:color w:val="6B7280"/>
          <w:sz w:val="26"/>
          <w:szCs w:val="26"/>
        </w:rPr>
        <w:t xml:space="preserve">A Streamlit-Based Construction Material Estimation System</w:t>
      </w:r>
    </w:p>
    <w:p>
      <w:pPr>
        <w:pBdr>
          <w:top w:val="single" w:color="2563EB" w:sz="8" w:space="8"/>
          <w:bottom w:val="single" w:color="2563EB" w:sz="8" w:space="8"/>
        </w:pBdr>
        <w:spacing w:after="4000"/>
        <w:jc w:val="center"/>
      </w:pPr>
      <w:r>
        <w:rPr>
          <w:rFonts w:ascii="Calibri" w:cs="Calibri" w:eastAsia="Calibri" w:hAnsi="Calibri"/>
          <w:b/>
          <w:bCs/>
          <w:color w:val="111827"/>
          <w:sz w:val="22"/>
          <w:szCs w:val="22"/>
        </w:rPr>
        <w:t xml:space="preserve">Project Report</w:t>
      </w:r>
    </w:p>
    <w:p>
      <w:pPr>
        <w:spacing w:after="120"/>
        <w:jc w:val="center"/>
      </w:pPr>
      <w:r>
        <w:rPr>
          <w:rFonts w:ascii="Calibri" w:cs="Calibri" w:eastAsia="Calibri" w:hAnsi="Calibri"/>
          <w:b/>
          <w:bCs/>
          <w:color w:val="111827"/>
          <w:sz w:val="24"/>
          <w:szCs w:val="24"/>
        </w:rPr>
        <w:t xml:space="preserve">Project Title:  </w:t>
      </w:r>
      <w:r>
        <w:rPr>
          <w:rFonts w:ascii="Calibri" w:cs="Calibri" w:eastAsia="Calibri" w:hAnsi="Calibri"/>
          <w:color w:val="111827"/>
          <w:sz w:val="24"/>
          <w:szCs w:val="24"/>
        </w:rPr>
        <w:t xml:space="preserve">Construction Intelligence Hub</w:t>
      </w:r>
    </w:p>
    <w:p>
      <w:pPr>
        <w:spacing w:after="120"/>
        <w:jc w:val="center"/>
      </w:pPr>
      <w:r>
        <w:rPr>
          <w:rFonts w:ascii="Calibri" w:cs="Calibri" w:eastAsia="Calibri" w:hAnsi="Calibri"/>
          <w:b/>
          <w:bCs/>
          <w:color w:val="111827"/>
          <w:sz w:val="24"/>
          <w:szCs w:val="24"/>
        </w:rPr>
        <w:t xml:space="preserve">Project Type:  </w:t>
      </w:r>
      <w:r>
        <w:rPr>
          <w:rFonts w:ascii="Calibri" w:cs="Calibri" w:eastAsia="Calibri" w:hAnsi="Calibri"/>
          <w:color w:val="111827"/>
          <w:sz w:val="24"/>
          <w:szCs w:val="24"/>
        </w:rPr>
        <w:t xml:space="preserve">Construction Material Estimation System</w:t>
      </w:r>
    </w:p>
    <w:p>
      <w:pPr>
        <w:spacing w:after="120"/>
        <w:jc w:val="center"/>
      </w:pPr>
      <w:r>
        <w:rPr>
          <w:rFonts w:ascii="Calibri" w:cs="Calibri" w:eastAsia="Calibri" w:hAnsi="Calibri"/>
          <w:b/>
          <w:bCs/>
          <w:color w:val="111827"/>
          <w:sz w:val="24"/>
          <w:szCs w:val="24"/>
        </w:rPr>
        <w:t xml:space="preserve">Prepared By:  </w:t>
      </w:r>
      <w:r>
        <w:rPr>
          <w:rFonts w:ascii="Calibri" w:cs="Calibri" w:eastAsia="Calibri" w:hAnsi="Calibri"/>
          <w:color w:val="111827"/>
          <w:sz w:val="24"/>
          <w:szCs w:val="24"/>
        </w:rPr>
        <w:t xml:space="preserve">Kallam Swethana Reddy</w:t>
      </w:r>
    </w:p>
    <w:p>
      <w:pPr>
        <w:spacing w:before="1200"/>
        <w:jc w:val="center"/>
      </w:pPr>
      <w:r>
        <w:rPr>
          <w:rFonts w:ascii="Calibri" w:cs="Calibri" w:eastAsia="Calibri" w:hAnsi="Calibri"/>
          <w:color w:val="6B7280"/>
          <w:sz w:val="19"/>
          <w:szCs w:val="19"/>
        </w:rPr>
        <w:t xml:space="preserve">Built with Python, Streamlit, pandas, and ReportLab</w:t>
      </w:r>
    </w:p>
    <w:p>
      <w:r>
        <w:br w:type="page"/>
      </w:r>
    </w:p>
    <w:p>
      <w:pPr>
        <w:sectPr>
          <w:pgSz w:w="11906" w:h="16838" w:orient="portrait"/>
          <w:pgMar w:top="900" w:right="1000" w:bottom="900" w:left="1000" w:header="708" w:footer="708" w:gutter="0"/>
          <w:pgNumType/>
          <w:docGrid w:linePitch="360"/>
        </w:sectPr>
      </w:pPr>
    </w:p>
    <w:p>
      <w:pPr>
        <w:pStyle w:val="Heading1"/>
        <w:pBdr>
          <w:bottom w:val="single" w:color="2563EB" w:sz="6" w:space="4"/>
        </w:pBdr>
        <w:spacing w:after="100" w:before="200"/>
      </w:pPr>
      <w:r>
        <w:rPr>
          <w:rFonts w:ascii="Calibri" w:cs="Calibri" w:eastAsia="Calibri" w:hAnsi="Calibri"/>
          <w:b/>
          <w:bCs/>
          <w:color w:val="2563EB"/>
          <w:sz w:val="28"/>
          <w:szCs w:val="28"/>
        </w:rPr>
        <w:t xml:space="preserve">1. Introduction</w:t>
      </w:r>
    </w:p>
    <w:p>
      <w:pPr>
        <w:spacing w:after="90" w:line="248"/>
        <w:jc w:val="both"/>
      </w:pPr>
      <w:r>
        <w:rPr>
          <w:rFonts w:ascii="Calibri" w:cs="Calibri" w:eastAsia="Calibri" w:hAnsi="Calibri"/>
          <w:color w:val="111827"/>
          <w:sz w:val="20"/>
          <w:szCs w:val="20"/>
        </w:rPr>
        <w:t xml:space="preserve">Estimating construction materials is one of the first practical problems anyone faces when planning a building project. Before any construction can begin, someone has to work out how many bricks are needed, how much sand and mortar will go into the walls, and how much of the wall area will actually be usable once doors and windows are cut out of it. Traditionally, this is done manually with a calculator, a notebook, and a set of thumb rules that a site engineer has picked up over the years. It works, but it is slow, easy to get wrong, and hard to repeat consistently across multiple projects.</w:t>
      </w:r>
    </w:p>
    <w:p>
      <w:pPr>
        <w:spacing w:after="90" w:line="248"/>
        <w:jc w:val="both"/>
      </w:pPr>
      <w:r>
        <w:rPr>
          <w:rFonts w:ascii="Calibri" w:cs="Calibri" w:eastAsia="Calibri" w:hAnsi="Calibri"/>
          <w:color w:val="111827"/>
          <w:sz w:val="20"/>
          <w:szCs w:val="20"/>
        </w:rPr>
        <w:t xml:space="preserve">Construction Intelligence Hub is a web-based tool I built to automate this exact process. It is a single-page Streamlit application where a user enters the basic dimensions of a rectangular building — length, width, wall height, wall thickness, and the number and size of doors and windows — and instantly receives a full breakdown of the wall area, wall volume, number of bricks required, and volume of sand needed. The results are shown on a clean dashboard, backed by a step-by-step calculation trail, and can be exported as a formatted PDF report for record-keeping or sharing with a contractor.</w:t>
      </w:r>
    </w:p>
    <w:p>
      <w:pPr>
        <w:spacing w:after="90" w:line="248"/>
        <w:jc w:val="both"/>
      </w:pPr>
      <w:r>
        <w:rPr>
          <w:rFonts w:ascii="Calibri" w:cs="Calibri" w:eastAsia="Calibri" w:hAnsi="Calibri"/>
          <w:color w:val="111827"/>
          <w:sz w:val="20"/>
          <w:szCs w:val="20"/>
        </w:rPr>
        <w:t xml:space="preserve">This report documents the application exactly as it has been implemented — the calculation logic, the libraries used, the structure of the code, and the reasoning behind each design decision — rather than describing construction estimation as a general topic.</w:t>
      </w:r>
    </w:p>
    <w:p>
      <w:pPr>
        <w:pStyle w:val="Heading1"/>
        <w:pBdr>
          <w:bottom w:val="single" w:color="2563EB" w:sz="6" w:space="4"/>
        </w:pBdr>
        <w:spacing w:after="100" w:before="200"/>
      </w:pPr>
      <w:r>
        <w:rPr>
          <w:rFonts w:ascii="Calibri" w:cs="Calibri" w:eastAsia="Calibri" w:hAnsi="Calibri"/>
          <w:b/>
          <w:bCs/>
          <w:color w:val="2563EB"/>
          <w:sz w:val="28"/>
          <w:szCs w:val="28"/>
        </w:rPr>
        <w:t xml:space="preserve">2. Purpose of the Application</w:t>
      </w:r>
    </w:p>
    <w:p>
      <w:pPr>
        <w:spacing w:after="90" w:line="248"/>
        <w:jc w:val="both"/>
      </w:pPr>
      <w:r>
        <w:rPr>
          <w:rFonts w:ascii="Calibri" w:cs="Calibri" w:eastAsia="Calibri" w:hAnsi="Calibri"/>
          <w:color w:val="111827"/>
          <w:sz w:val="20"/>
          <w:szCs w:val="20"/>
        </w:rPr>
        <w:t xml:space="preserve">The core goal of this application is to remove the guesswork and repetitive arithmetic from early-stage construction material estimation. Specifically, the application was built to:</w:t>
      </w:r>
    </w:p>
    <w:p>
      <w:pPr>
        <w:pStyle w:val="ListParagraph"/>
        <w:numPr>
          <w:ilvl w:val="0"/>
          <w:numId w:val="2"/>
        </w:numPr>
        <w:spacing w:after="60" w:line="250"/>
      </w:pPr>
      <w:r>
        <w:rPr>
          <w:rFonts w:ascii="Calibri" w:cs="Calibri" w:eastAsia="Calibri" w:hAnsi="Calibri"/>
          <w:color w:val="111827"/>
          <w:sz w:val="20"/>
          <w:szCs w:val="20"/>
        </w:rPr>
        <w:t xml:space="preserve">Give an instant, formula-based estimate of bricks, mortar, and sand for a rectangular building, so a user does not have to calculate wall areas and volumes by hand.</w:t>
      </w:r>
    </w:p>
    <w:p>
      <w:pPr>
        <w:pStyle w:val="ListParagraph"/>
        <w:numPr>
          <w:ilvl w:val="0"/>
          <w:numId w:val="2"/>
        </w:numPr>
        <w:spacing w:after="60" w:line="250"/>
      </w:pPr>
      <w:r>
        <w:rPr>
          <w:rFonts w:ascii="Calibri" w:cs="Calibri" w:eastAsia="Calibri" w:hAnsi="Calibri"/>
          <w:color w:val="111827"/>
          <w:sz w:val="20"/>
          <w:szCs w:val="20"/>
        </w:rPr>
        <w:t xml:space="preserve">Account for real openings in a wall — doors and windows — instead of estimating brick quantity from the gross wall area alone, which would overstate material needs.</w:t>
      </w:r>
    </w:p>
    <w:p>
      <w:pPr>
        <w:pStyle w:val="ListParagraph"/>
        <w:numPr>
          <w:ilvl w:val="0"/>
          <w:numId w:val="2"/>
        </w:numPr>
        <w:spacing w:after="60" w:line="250"/>
      </w:pPr>
      <w:r>
        <w:rPr>
          <w:rFonts w:ascii="Calibri" w:cs="Calibri" w:eastAsia="Calibri" w:hAnsi="Calibri"/>
          <w:color w:val="111827"/>
          <w:sz w:val="20"/>
          <w:szCs w:val="20"/>
        </w:rPr>
        <w:t xml:space="preserve">Let the user choose from three standard wall thicknesses (115 mm, 230 mm, and 345 mm) and three brick types, since these directly change how many bricks are needed per cubic metre of wall.</w:t>
      </w:r>
    </w:p>
    <w:p>
      <w:pPr>
        <w:pStyle w:val="ListParagraph"/>
        <w:numPr>
          <w:ilvl w:val="0"/>
          <w:numId w:val="2"/>
        </w:numPr>
        <w:spacing w:after="60" w:line="250"/>
      </w:pPr>
      <w:r>
        <w:rPr>
          <w:rFonts w:ascii="Calibri" w:cs="Calibri" w:eastAsia="Calibri" w:hAnsi="Calibri"/>
          <w:color w:val="111827"/>
          <w:sz w:val="20"/>
          <w:szCs w:val="20"/>
        </w:rPr>
        <w:t xml:space="preserve">Make every intermediate calculation visible, not just the final numbers, so the estimate can be verified step by step rather than trusted blindly.</w:t>
      </w:r>
    </w:p>
    <w:p>
      <w:pPr>
        <w:pStyle w:val="ListParagraph"/>
        <w:numPr>
          <w:ilvl w:val="0"/>
          <w:numId w:val="2"/>
        </w:numPr>
        <w:spacing w:after="60" w:line="250"/>
      </w:pPr>
      <w:r>
        <w:rPr>
          <w:rFonts w:ascii="Calibri" w:cs="Calibri" w:eastAsia="Calibri" w:hAnsi="Calibri"/>
          <w:color w:val="111827"/>
          <w:sz w:val="20"/>
          <w:szCs w:val="20"/>
        </w:rPr>
        <w:t xml:space="preserve">Produce a downloadable, professional-looking PDF report that a student, contractor, or site supervisor can keep as a record or share with others.</w:t>
      </w:r>
    </w:p>
    <w:p>
      <w:pPr>
        <w:spacing w:after="90" w:line="248"/>
        <w:jc w:val="both"/>
      </w:pPr>
      <w:r>
        <w:rPr>
          <w:rFonts w:ascii="Calibri" w:cs="Calibri" w:eastAsia="Calibri" w:hAnsi="Calibri"/>
          <w:color w:val="111827"/>
          <w:sz w:val="20"/>
          <w:szCs w:val="20"/>
        </w:rPr>
        <w:t xml:space="preserve">In short, the application is meant to work the way a careful site engineer would — checking inputs, applying standard construction formulas, and showing its work — but doing it in seconds instead of minutes.</w:t>
      </w:r>
    </w:p>
    <w:p>
      <w:pPr>
        <w:pStyle w:val="Heading1"/>
        <w:pBdr>
          <w:bottom w:val="single" w:color="2563EB" w:sz="6" w:space="4"/>
        </w:pBdr>
        <w:spacing w:after="100" w:before="200"/>
      </w:pPr>
      <w:r>
        <w:rPr>
          <w:rFonts w:ascii="Calibri" w:cs="Calibri" w:eastAsia="Calibri" w:hAnsi="Calibri"/>
          <w:b/>
          <w:bCs/>
          <w:color w:val="2563EB"/>
          <w:sz w:val="28"/>
          <w:szCs w:val="28"/>
        </w:rPr>
        <w:t xml:space="preserve">3. Overview of the Application</w:t>
      </w:r>
    </w:p>
    <w:p>
      <w:pPr>
        <w:spacing w:after="90" w:line="248"/>
        <w:jc w:val="both"/>
      </w:pPr>
      <w:r>
        <w:rPr>
          <w:rFonts w:ascii="Calibri" w:cs="Calibri" w:eastAsia="Calibri" w:hAnsi="Calibri"/>
          <w:color w:val="111827"/>
          <w:sz w:val="20"/>
          <w:szCs w:val="20"/>
        </w:rPr>
        <w:t xml:space="preserve">Construction Intelligence Hub is built entirely in Python as a single file, app.py, and runs as a Streamlit web app — meaning it opens in a browser and requires no separate front-end code. The interface is split into two areas that match how a user naturally works through the problem:</w:t>
      </w:r>
    </w:p>
    <w:p>
      <w:pPr>
        <w:pStyle w:val="Heading2"/>
        <w:spacing w:after="70" w:before="140"/>
      </w:pPr>
      <w:r>
        <w:rPr>
          <w:rFonts w:ascii="Calibri" w:cs="Calibri" w:eastAsia="Calibri" w:hAnsi="Calibri"/>
          <w:b/>
          <w:bCs/>
          <w:color w:val="111827"/>
          <w:sz w:val="22"/>
          <w:szCs w:val="22"/>
        </w:rPr>
        <w:t xml:space="preserve">3.1 Sidebar — Project Details</w:t>
      </w:r>
    </w:p>
    <w:p>
      <w:pPr>
        <w:spacing w:after="90" w:line="248"/>
        <w:jc w:val="both"/>
      </w:pPr>
      <w:r>
        <w:rPr>
          <w:rFonts w:ascii="Calibri" w:cs="Calibri" w:eastAsia="Calibri" w:hAnsi="Calibri"/>
          <w:color w:val="111827"/>
          <w:sz w:val="20"/>
          <w:szCs w:val="20"/>
        </w:rPr>
        <w:t xml:space="preserve">The left sidebar is where all inputs are collected. It is organised into four labelled groups: Building Dimensions (length, width, wall height, wall thickness), Doors (count, width, height), Windows (count, width, height), and Brick Type (a dropdown of three brick sizes). An "Estimate Materials" button at the bottom of the sidebar triggers the calculation.</w:t>
      </w:r>
    </w:p>
    <w:p>
      <w:pPr>
        <w:pStyle w:val="Heading2"/>
        <w:spacing w:after="70" w:before="140"/>
      </w:pPr>
      <w:r>
        <w:rPr>
          <w:rFonts w:ascii="Calibri" w:cs="Calibri" w:eastAsia="Calibri" w:hAnsi="Calibri"/>
          <w:b/>
          <w:bCs/>
          <w:color w:val="111827"/>
          <w:sz w:val="22"/>
          <w:szCs w:val="22"/>
        </w:rPr>
        <w:t xml:space="preserve">3.2 Main Panel — Results Dashboard</w:t>
      </w:r>
    </w:p>
    <w:p>
      <w:pPr>
        <w:spacing w:after="90" w:line="248"/>
        <w:jc w:val="both"/>
      </w:pPr>
      <w:r>
        <w:rPr>
          <w:rFonts w:ascii="Calibri" w:cs="Calibri" w:eastAsia="Calibri" w:hAnsi="Calibri"/>
          <w:color w:val="111827"/>
          <w:sz w:val="20"/>
          <w:szCs w:val="20"/>
        </w:rPr>
        <w:t xml:space="preserve">Once the button is clicked and the inputs pass validation, the main panel fills with: four summary metric cards (Net Wall Area, Wall Volume, Estimated Bricks, Sand Required), two material breakdown cards for bricks and sand, an expandable "Calculation Details" section that shows every formula and intermediate value, a project summary table of all inputs, a list of practical recommendations, and a "Download Report (PDF)" button.</w:t>
      </w:r>
    </w:p>
    <w:p>
      <w:pPr>
        <w:spacing w:after="90" w:line="248"/>
        <w:jc w:val="both"/>
      </w:pPr>
      <w:r>
        <w:rPr>
          <w:rFonts w:ascii="Calibri" w:cs="Calibri" w:eastAsia="Calibri" w:hAnsi="Calibri"/>
          <w:color w:val="111827"/>
          <w:sz w:val="20"/>
          <w:szCs w:val="20"/>
        </w:rPr>
        <w:t xml:space="preserve">The application deliberately avoids anything beyond what is needed to solve this one problem well — there is no login, no database, and no external API call. All computation happens locally in the Python process using plain arithmetic, and the app re-runs its logic fresh every time the Estimate Materials button is pressed.</w:t>
      </w:r>
    </w:p>
    <w:p>
      <w:pPr>
        <w:pStyle w:val="Heading1"/>
        <w:pBdr>
          <w:bottom w:val="single" w:color="2563EB" w:sz="6" w:space="4"/>
        </w:pBdr>
        <w:spacing w:after="100" w:before="200"/>
      </w:pPr>
      <w:r>
        <w:rPr>
          <w:rFonts w:ascii="Calibri" w:cs="Calibri" w:eastAsia="Calibri" w:hAnsi="Calibri"/>
          <w:b/>
          <w:bCs/>
          <w:color w:val="2563EB"/>
          <w:sz w:val="28"/>
          <w:szCs w:val="28"/>
        </w:rPr>
        <w:t xml:space="preserve">4. Technologies, Libraries, and Tools Used</w:t>
      </w:r>
    </w:p>
    <w:p>
      <w:pPr>
        <w:spacing w:after="90" w:line="248"/>
        <w:jc w:val="both"/>
      </w:pPr>
      <w:r>
        <w:rPr>
          <w:rFonts w:ascii="Calibri" w:cs="Calibri" w:eastAsia="Calibri" w:hAnsi="Calibri"/>
          <w:color w:val="111827"/>
          <w:sz w:val="20"/>
          <w:szCs w:val="20"/>
        </w:rPr>
        <w:t xml:space="preserve">One of the constraints I set for this project was to keep the dependency list as small as possible, so the app stays easy to install and run. Every library used has a clear, specific job — nothing was added "just in case." The table below lists what is used and why.</w:t>
      </w:r>
    </w:p>
    <w:tbl>
      <w:tblPr>
        <w:tblW w:type="dxa" w:w="9500"/>
        <w:tblBorders>
          <w:top w:val="single" w:color="E5E7EB" w:sz="2"/>
          <w:left w:val="single" w:color="E5E7EB" w:sz="2"/>
          <w:bottom w:val="single" w:color="E5E7EB" w:sz="2"/>
          <w:right w:val="single" w:color="E5E7EB" w:sz="2"/>
          <w:insideH w:val="single" w:color="E5E7EB" w:sz="2"/>
          <w:insideV w:val="single" w:color="E5E7EB" w:sz="2"/>
        </w:tblBorders>
      </w:tblPr>
      <w:tblGrid>
        <w:gridCol w:w="100"/>
        <w:gridCol w:w="100"/>
      </w:tblGrid>
      <w:tr>
        <w:trPr>
          <w:tblHeader/>
        </w:trPr>
        <w:tc>
          <w:tcPr>
            <w:tcW w:type="dxa" w:w="2400"/>
            <w:shd w:fill="2563EB" w:val="clear"/>
            <w:tcMar>
              <w:top w:type="dxa" w:w="60"/>
              <w:left w:type="dxa" w:w="90"/>
              <w:bottom w:type="dxa" w:w="60"/>
              <w:right w:type="dxa" w:w="90"/>
            </w:tcMar>
          </w:tcPr>
          <w:p>
            <w:pPr>
              <w:spacing w:after="30" w:before="30"/>
            </w:pPr>
            <w:r>
              <w:rPr>
                <w:rFonts w:ascii="Calibri" w:cs="Calibri" w:eastAsia="Calibri" w:hAnsi="Calibri"/>
                <w:b/>
                <w:bCs/>
                <w:color w:val="FFFFFF"/>
                <w:sz w:val="19"/>
                <w:szCs w:val="19"/>
              </w:rPr>
              <w:t xml:space="preserve">Technology</w:t>
            </w:r>
          </w:p>
        </w:tc>
        <w:tc>
          <w:tcPr>
            <w:tcW w:type="dxa" w:w="7100"/>
            <w:shd w:fill="2563EB" w:val="clear"/>
            <w:tcMar>
              <w:top w:type="dxa" w:w="60"/>
              <w:left w:type="dxa" w:w="90"/>
              <w:bottom w:type="dxa" w:w="60"/>
              <w:right w:type="dxa" w:w="90"/>
            </w:tcMar>
          </w:tcPr>
          <w:p>
            <w:pPr>
              <w:spacing w:after="30" w:before="30"/>
            </w:pPr>
            <w:r>
              <w:rPr>
                <w:rFonts w:ascii="Calibri" w:cs="Calibri" w:eastAsia="Calibri" w:hAnsi="Calibri"/>
                <w:b/>
                <w:bCs/>
                <w:color w:val="FFFFFF"/>
                <w:sz w:val="19"/>
                <w:szCs w:val="19"/>
              </w:rPr>
              <w:t xml:space="preserve">Why It Was Chosen / How It Is Used</w:t>
            </w:r>
          </w:p>
        </w:tc>
      </w:tr>
      <w:tr>
        <w:tc>
          <w:tcPr>
            <w:tcW w:type="dxa" w:w="2400"/>
            <w:shd w:fill="FFFFFF"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Python 3</w:t>
            </w:r>
          </w:p>
        </w:tc>
        <w:tc>
          <w:tcPr>
            <w:tcW w:type="dxa" w:w="7100"/>
            <w:shd w:fill="FFFFFF"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Programming language for the entire application. Chosen for its readability and its strong ecosystem of data and document libraries, which made it easy to combine calculation logic, a web UI, and PDF generation in one codebase.</w:t>
            </w:r>
          </w:p>
        </w:tc>
      </w:tr>
      <w:tr>
        <w:tc>
          <w:tcPr>
            <w:tcW w:type="dxa" w:w="2400"/>
            <w:shd w:fill="F3F4F6"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Streamlit</w:t>
            </w:r>
          </w:p>
        </w:tc>
        <w:tc>
          <w:tcPr>
            <w:tcW w:type="dxa" w:w="7100"/>
            <w:shd w:fill="F3F4F6"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Framework used to build the entire web interface (sidebar inputs, metrics, tables, expander, download button) using only Python — no HTML/CSS/JavaScript front-end was required. It was chosen because it turns a normal Python script into an interactive dashboard with very little boilerplate, which suited a focused single-purpose tool like this one.</w:t>
            </w:r>
          </w:p>
        </w:tc>
      </w:tr>
      <w:tr>
        <w:tc>
          <w:tcPr>
            <w:tcW w:type="dxa" w:w="2400"/>
            <w:shd w:fill="FFFFFF"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math (standard library)</w:t>
            </w:r>
          </w:p>
        </w:tc>
        <w:tc>
          <w:tcPr>
            <w:tcW w:type="dxa" w:w="7100"/>
            <w:shd w:fill="FFFFFF"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Used specifically for math.ceil(), so that brick quantities are always rounded up to a whole, purchasable number of bricks rather than left as a fractional value.</w:t>
            </w:r>
          </w:p>
        </w:tc>
      </w:tr>
      <w:tr>
        <w:tc>
          <w:tcPr>
            <w:tcW w:type="dxa" w:w="2400"/>
            <w:shd w:fill="F3F4F6"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pandas</w:t>
            </w:r>
          </w:p>
        </w:tc>
        <w:tc>
          <w:tcPr>
            <w:tcW w:type="dxa" w:w="7100"/>
            <w:shd w:fill="F3F4F6"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Used to build the Project Summary table (pd.DataFrame) that lists every input the user entered, in a clean tabular format that Streamlit can render directly with st.table().</w:t>
            </w:r>
          </w:p>
        </w:tc>
      </w:tr>
      <w:tr>
        <w:tc>
          <w:tcPr>
            <w:tcW w:type="dxa" w:w="2400"/>
            <w:shd w:fill="FFFFFF"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ReportLab</w:t>
            </w:r>
          </w:p>
        </w:tc>
        <w:tc>
          <w:tcPr>
            <w:tcW w:type="dxa" w:w="7100"/>
            <w:shd w:fill="FFFFFF"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Used to generate the downloadable PDF report. ReportLab's platypus module (SimpleDocTemplate, Paragraph, Table, ListFlowable) was chosen because it gives full control over fonts, colours, and table styling — necessary to make the PDF match the app's blue-and-white visual identity rather than producing a plain, unstyled text file.</w:t>
            </w:r>
          </w:p>
        </w:tc>
      </w:tr>
      <w:tr>
        <w:tc>
          <w:tcPr>
            <w:tcW w:type="dxa" w:w="2400"/>
            <w:shd w:fill="F3F4F6"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Custom CSS (via st.markdown)</w:t>
            </w:r>
          </w:p>
        </w:tc>
        <w:tc>
          <w:tcPr>
            <w:tcW w:type="dxa" w:w="7100"/>
            <w:shd w:fill="F3F4F6"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A small block of injected CSS restyles Streamlit's default components — rounded info cards, a blue accent on buttons and metrics, and a light-gray sidebar — to give the dashboard a professional, engineering-tool appearance instead of Streamlit's default look.</w:t>
            </w:r>
          </w:p>
        </w:tc>
      </w:tr>
      <w:tr>
        <w:tc>
          <w:tcPr>
            <w:tcW w:type="dxa" w:w="2400"/>
            <w:shd w:fill="FFFFFF"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.streamlit/config.toml</w:t>
            </w:r>
          </w:p>
        </w:tc>
        <w:tc>
          <w:tcPr>
            <w:tcW w:type="dxa" w:w="7100"/>
            <w:shd w:fill="FFFFFF"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A configuration file that locks the app to a single custom light theme (accent #2563EB, white background). Defining one [theme] table instead of separate light/dark tables removes the Dark and "Use system setting" options from Streamlit's theme selector entirely.</w:t>
            </w:r>
          </w:p>
        </w:tc>
      </w:tr>
    </w:tbl>
    <w:p>
      <w:pPr>
        <w:spacing w:after="80"/>
      </w:pPr>
    </w:p>
    <w:p>
      <w:pPr>
        <w:spacing w:after="90" w:line="248"/>
        <w:jc w:val="both"/>
      </w:pPr>
      <w:r>
        <w:rPr>
          <w:rFonts w:ascii="Calibri" w:cs="Calibri" w:eastAsia="Calibri" w:hAnsi="Calibri"/>
          <w:color w:val="111827"/>
          <w:sz w:val="20"/>
          <w:szCs w:val="20"/>
        </w:rPr>
        <w:t xml:space="preserve">No AI APIs, databases, authentication systems, or cloud services are used anywhere in the application. All calculations run with plain Python arithmetic, and all state (the current results) is held in Streamlit's built-in st.session_state for the duration of the browser session — nothing is persisted to disk or to any external service.</w:t>
      </w:r>
    </w:p>
    <w:p>
      <w:pPr>
        <w:pStyle w:val="Heading1"/>
        <w:pBdr>
          <w:bottom w:val="single" w:color="2563EB" w:sz="6" w:space="4"/>
        </w:pBdr>
        <w:spacing w:after="100" w:before="200"/>
      </w:pPr>
      <w:r>
        <w:rPr>
          <w:rFonts w:ascii="Calibri" w:cs="Calibri" w:eastAsia="Calibri" w:hAnsi="Calibri"/>
          <w:b/>
          <w:bCs/>
          <w:color w:val="2563EB"/>
          <w:sz w:val="28"/>
          <w:szCs w:val="28"/>
        </w:rPr>
        <w:t xml:space="preserve">5. Features Implemented</w:t>
      </w:r>
    </w:p>
    <w:p>
      <w:pPr>
        <w:pStyle w:val="Heading2"/>
        <w:spacing w:after="70" w:before="140"/>
      </w:pPr>
      <w:r>
        <w:rPr>
          <w:rFonts w:ascii="Calibri" w:cs="Calibri" w:eastAsia="Calibri" w:hAnsi="Calibri"/>
          <w:b/>
          <w:bCs/>
          <w:color w:val="111827"/>
          <w:sz w:val="22"/>
          <w:szCs w:val="22"/>
        </w:rPr>
        <w:t xml:space="preserve">5.1 Guided Input Collection &amp; Validation</w:t>
      </w:r>
    </w:p>
    <w:p>
      <w:pPr>
        <w:spacing w:after="90" w:line="248"/>
        <w:jc w:val="both"/>
      </w:pPr>
      <w:r>
        <w:rPr>
          <w:rFonts w:ascii="Calibri" w:cs="Calibri" w:eastAsia="Calibri" w:hAnsi="Calibri"/>
          <w:color w:val="111827"/>
          <w:sz w:val="20"/>
          <w:szCs w:val="20"/>
        </w:rPr>
        <w:t xml:space="preserve">The sidebar collects building length, width, wall height, wall thickness (a dropdown restricted to the three standard values 0.115 m, 0.23 m, and 0.345 m), door count/width/height, window count/width/height, and a brick-type dropdown (Standard, Modular, Fly Ash). Before any calculation runs, validate_inputs() checks that length, width, wall height, and wall thickness are positive, that door/window counts are not negative, and that door/window dimensions are positive whenever present. It then runs a sanity check that recomputes the gross wall area and total opening area — if openings equal or exceed the gross wall area, the app stops with a clear error instead of producing a negative or meaningless wall area. All errors are shown together in one st.error() block.</w:t>
      </w:r>
    </w:p>
    <w:p>
      <w:pPr>
        <w:pStyle w:val="Heading2"/>
        <w:spacing w:after="70" w:before="140"/>
      </w:pPr>
      <w:r>
        <w:rPr>
          <w:rFonts w:ascii="Calibri" w:cs="Calibri" w:eastAsia="Calibri" w:hAnsi="Calibri"/>
          <w:b/>
          <w:bCs/>
          <w:color w:val="111827"/>
          <w:sz w:val="22"/>
          <w:szCs w:val="22"/>
        </w:rPr>
        <w:t xml:space="preserve">5.2 Full Material Calculation Chain</w:t>
      </w:r>
    </w:p>
    <w:p>
      <w:pPr>
        <w:spacing w:after="90" w:line="248"/>
        <w:jc w:val="both"/>
      </w:pPr>
      <w:r>
        <w:rPr>
          <w:rFonts w:ascii="Calibri" w:cs="Calibri" w:eastAsia="Calibri" w:hAnsi="Calibri"/>
          <w:color w:val="111827"/>
          <w:sz w:val="20"/>
          <w:szCs w:val="20"/>
        </w:rPr>
        <w:t xml:space="preserve">Nine small, single-purpose functions run in sequence — perimeter, gross wall area, opening area, net wall area, wall volume, brick volume (with a mortar-joint allowance), bricks required, mortar volume, and sand volume. Keeping each step as its own function made the logic easy to test and easy to display step by step.</w:t>
      </w:r>
    </w:p>
    <w:p>
      <w:pPr>
        <w:pStyle w:val="Heading2"/>
        <w:spacing w:after="70" w:before="140"/>
      </w:pPr>
      <w:r>
        <w:rPr>
          <w:rFonts w:ascii="Calibri" w:cs="Calibri" w:eastAsia="Calibri" w:hAnsi="Calibri"/>
          <w:b/>
          <w:bCs/>
          <w:color w:val="111827"/>
          <w:sz w:val="22"/>
          <w:szCs w:val="22"/>
        </w:rPr>
        <w:t xml:space="preserve">5.3 Results Dashboard &amp; Calculation Trail</w:t>
      </w:r>
    </w:p>
    <w:p>
      <w:pPr>
        <w:spacing w:after="90" w:line="248"/>
        <w:jc w:val="both"/>
      </w:pPr>
      <w:r>
        <w:rPr>
          <w:rFonts w:ascii="Calibri" w:cs="Calibri" w:eastAsia="Calibri" w:hAnsi="Calibri"/>
          <w:color w:val="111827"/>
          <w:sz w:val="20"/>
          <w:szCs w:val="20"/>
        </w:rPr>
        <w:t xml:space="preserve">Four st.metric() cards summarise the headline numbers (Net Wall Area, Wall Volume, Estimated Bricks, Sand Required), followed by two custom-styled cards — built with the render_card() helper — that break down bricks and sand individually, including a wastage-adjusted brick count. An st.expander() titled "View Calculation Details" then shows all nine steps with the actual formula (rendered with st.latex()) and the real numbers substituted in, so an estimate can be checked rather than trusted blindly.</w:t>
      </w:r>
    </w:p>
    <w:p>
      <w:pPr>
        <w:pStyle w:val="Heading2"/>
        <w:spacing w:after="70" w:before="140"/>
      </w:pPr>
      <w:r>
        <w:rPr>
          <w:rFonts w:ascii="Calibri" w:cs="Calibri" w:eastAsia="Calibri" w:hAnsi="Calibri"/>
          <w:b/>
          <w:bCs/>
          <w:color w:val="111827"/>
          <w:sz w:val="22"/>
          <w:szCs w:val="22"/>
        </w:rPr>
        <w:t xml:space="preserve">5.4 Project Summary, Recommendations &amp; PDF Export</w:t>
      </w:r>
    </w:p>
    <w:p>
      <w:pPr>
        <w:spacing w:after="90" w:line="248"/>
        <w:jc w:val="both"/>
      </w:pPr>
      <w:r>
        <w:rPr>
          <w:rFonts w:ascii="Calibri" w:cs="Calibri" w:eastAsia="Calibri" w:hAnsi="Calibri"/>
          <w:color w:val="111827"/>
          <w:sz w:val="20"/>
          <w:szCs w:val="20"/>
        </w:rPr>
        <w:t xml:space="preserve">All eleven user inputs are shown back in a pandas DataFrame rendered with st.table(), so the user can confirm exactly what values produced the estimate. Below that, a fixed list of five practical recommendations is shown — including a wastage percentage pulled from the same WASTAGE_PERCENT constant used in the calculation, so the text and the numbers never fall out of sync. Finally, the "Download Report (PDF)" button calls generate_report(), which builds a styled PDF in memory with ReportLab and hands the raw bytes to st.download_button() with mime type application/pdf — including a Project Inputs table, a Calculated Values table, and a bulleted Recommendations section, styled with the same blue accent used in the web dashboard.</w:t>
      </w:r>
    </w:p>
    <w:p>
      <w:pPr>
        <w:pStyle w:val="Heading2"/>
        <w:spacing w:after="70" w:before="140"/>
      </w:pPr>
      <w:r>
        <w:rPr>
          <w:rFonts w:ascii="Calibri" w:cs="Calibri" w:eastAsia="Calibri" w:hAnsi="Calibri"/>
          <w:b/>
          <w:bCs/>
          <w:color w:val="111827"/>
          <w:sz w:val="22"/>
          <w:szCs w:val="22"/>
        </w:rPr>
        <w:t xml:space="preserve">5.5 Locked Light Theme</w:t>
      </w:r>
    </w:p>
    <w:p>
      <w:pPr>
        <w:spacing w:after="90" w:line="248"/>
        <w:jc w:val="both"/>
      </w:pPr>
      <w:r>
        <w:rPr>
          <w:rFonts w:ascii="Calibri" w:cs="Calibri" w:eastAsia="Calibri" w:hAnsi="Calibri"/>
          <w:color w:val="111827"/>
          <w:sz w:val="20"/>
          <w:szCs w:val="20"/>
        </w:rPr>
        <w:t xml:space="preserve">A .streamlit/config.toml file defines a single custom theme, which removes Streamlit's Dark and "Use system setting" options so the app always renders in the intended white-and-blue design regardless of the visitor's OS or browser settings.</w:t>
      </w:r>
    </w:p>
    <w:p>
      <w:pPr>
        <w:pStyle w:val="Heading1"/>
        <w:pBdr>
          <w:bottom w:val="single" w:color="2563EB" w:sz="6" w:space="4"/>
        </w:pBdr>
        <w:spacing w:after="100" w:before="200"/>
      </w:pPr>
      <w:r>
        <w:rPr>
          <w:rFonts w:ascii="Calibri" w:cs="Calibri" w:eastAsia="Calibri" w:hAnsi="Calibri"/>
          <w:b/>
          <w:bCs/>
          <w:color w:val="2563EB"/>
          <w:sz w:val="28"/>
          <w:szCs w:val="28"/>
        </w:rPr>
        <w:t xml:space="preserve">6. Application Workflow — From User Input to Report</w:t>
      </w:r>
    </w:p>
    <w:p>
      <w:pPr>
        <w:spacing w:after="90" w:line="248"/>
        <w:jc w:val="both"/>
      </w:pPr>
      <w:r>
        <w:rPr>
          <w:rFonts w:ascii="Calibri" w:cs="Calibri" w:eastAsia="Calibri" w:hAnsi="Calibri"/>
          <w:color w:val="111827"/>
          <w:sz w:val="20"/>
          <w:szCs w:val="20"/>
        </w:rPr>
        <w:t xml:space="preserve">The application follows one clear, linear flow every time it is used, and the script is organised in almost the same order as the steps below.</w:t>
      </w:r>
    </w:p>
    <w:p>
      <w:pPr>
        <w:pStyle w:val="Heading2"/>
        <w:spacing w:after="70" w:before="140"/>
      </w:pPr>
      <w:r>
        <w:rPr>
          <w:rFonts w:ascii="Calibri" w:cs="Calibri" w:eastAsia="Calibri" w:hAnsi="Calibri"/>
          <w:b/>
          <w:bCs/>
          <w:color w:val="111827"/>
          <w:sz w:val="22"/>
          <w:szCs w:val="22"/>
        </w:rPr>
        <w:t xml:space="preserve">Step 1-3 — Input, trigger, and validation</w:t>
      </w:r>
    </w:p>
    <w:p>
      <w:pPr>
        <w:spacing w:after="90" w:line="248"/>
        <w:jc w:val="both"/>
      </w:pPr>
      <w:r>
        <w:rPr>
          <w:rFonts w:ascii="Calibri" w:cs="Calibri" w:eastAsia="Calibri" w:hAnsi="Calibri"/>
          <w:color w:val="111827"/>
          <w:sz w:val="20"/>
          <w:szCs w:val="20"/>
        </w:rPr>
        <w:t xml:space="preserve">The user fills in the sidebar (building dimensions, doors, windows, wall thickness, brick type) using ordinary Streamlit widgets, whose current values are available as plain Python variables on every rerun. When "Estimate Materials" is clicked, the app calls validate_inputs() with these values. If it returns any error messages, st.session_state.results_ready is set to False, the errors are printed with st.error(), and the script stops — no calculation is attempted on bad data.</w:t>
      </w:r>
    </w:p>
    <w:p>
      <w:pPr>
        <w:pStyle w:val="Heading2"/>
        <w:spacing w:after="70" w:before="140"/>
      </w:pPr>
      <w:r>
        <w:rPr>
          <w:rFonts w:ascii="Calibri" w:cs="Calibri" w:eastAsia="Calibri" w:hAnsi="Calibri"/>
          <w:b/>
          <w:bCs/>
          <w:color w:val="111827"/>
          <w:sz w:val="22"/>
          <w:szCs w:val="22"/>
        </w:rPr>
        <w:t xml:space="preserve">Step 4-5 — Calculation chain and session state</w:t>
      </w:r>
    </w:p>
    <w:p>
      <w:pPr>
        <w:spacing w:after="90" w:line="248"/>
        <w:jc w:val="both"/>
      </w:pPr>
      <w:r>
        <w:rPr>
          <w:rFonts w:ascii="Calibri" w:cs="Calibri" w:eastAsia="Calibri" w:hAnsi="Calibri"/>
          <w:color w:val="111827"/>
          <w:sz w:val="20"/>
          <w:szCs w:val="20"/>
        </w:rPr>
        <w:t xml:space="preserve">If validation passes, the calculation functions run in order: calculate_perimeter → calculate_gross_wall_area → calculate_opening_area (once for doors, once for windows) → calculate_net_wall_area → calculate_wall_volume → calculate_brick_volume_with_mortar → calculate_bricks_required → calculate_mortar_volume → calculate_sand_volume, each taking the previous step's result as input. All rounded results are then saved into st.session_state.calc_results, and raw inputs into st.session_state.user_inputs. This matters because Streamlit reruns the script on almost any UI interaction — without session state, the dashboard would disappear the moment the user opened the calculation-details expander.</w:t>
      </w:r>
    </w:p>
    <w:p>
      <w:pPr>
        <w:pStyle w:val="Heading2"/>
        <w:spacing w:after="70" w:before="140"/>
      </w:pPr>
      <w:r>
        <w:rPr>
          <w:rFonts w:ascii="Calibri" w:cs="Calibri" w:eastAsia="Calibri" w:hAnsi="Calibri"/>
          <w:b/>
          <w:bCs/>
          <w:color w:val="111827"/>
          <w:sz w:val="22"/>
          <w:szCs w:val="22"/>
        </w:rPr>
        <w:t xml:space="preserve">Step 6-7 — Dashboard render and PDF export</w:t>
      </w:r>
    </w:p>
    <w:p>
      <w:pPr>
        <w:spacing w:after="90" w:line="248"/>
        <w:jc w:val="both"/>
      </w:pPr>
      <w:r>
        <w:rPr>
          <w:rFonts w:ascii="Calibri" w:cs="Calibri" w:eastAsia="Calibri" w:hAnsi="Calibri"/>
          <w:color w:val="111827"/>
          <w:sz w:val="20"/>
          <w:szCs w:val="20"/>
        </w:rPr>
        <w:t xml:space="preserve">With results_ready set to True, the app renders the metric cards, breakdown cards, calculation-details expander, summary table, and recommendations, all reading from session state so values stay stable across reruns. Only when the user clicks "Download Report (PDF)" does generate_report() actually build the PDF — assembling a ReportLab story (title, two tables, a bulleted list, a footer) into an in-memory BytesIO buffer and returning the raw bytes, which Streamlit's download_button hands to the browser with no temporary file ever written to disk.</w:t>
      </w:r>
    </w:p>
    <w:p>
      <w:pPr>
        <w:pStyle w:val="Heading1"/>
        <w:pBdr>
          <w:bottom w:val="single" w:color="2563EB" w:sz="6" w:space="4"/>
        </w:pBdr>
        <w:spacing w:after="100" w:before="200"/>
      </w:pPr>
      <w:r>
        <w:rPr>
          <w:rFonts w:ascii="Calibri" w:cs="Calibri" w:eastAsia="Calibri" w:hAnsi="Calibri"/>
          <w:b/>
          <w:bCs/>
          <w:color w:val="2563EB"/>
          <w:sz w:val="28"/>
          <w:szCs w:val="28"/>
        </w:rPr>
        <w:t xml:space="preserve">7. Major Modules and How They Work Together</w:t>
      </w:r>
    </w:p>
    <w:p>
      <w:pPr>
        <w:spacing w:after="90" w:line="248"/>
        <w:jc w:val="both"/>
      </w:pPr>
      <w:r>
        <w:rPr>
          <w:rFonts w:ascii="Calibri" w:cs="Calibri" w:eastAsia="Calibri" w:hAnsi="Calibri"/>
          <w:color w:val="111827"/>
          <w:sz w:val="20"/>
          <w:szCs w:val="20"/>
        </w:rPr>
        <w:t xml:space="preserve">Although app.py is a single file, it is organised into clearly separated sections, each with one responsibility. This kept the code easy to navigate even as it grew — I could change how the PDF looks without touching the calculation logic, or add a new input field without worrying about the report generator.</w:t>
      </w:r>
    </w:p>
    <w:tbl>
      <w:tblPr>
        <w:tblW w:type="dxa" w:w="9500"/>
        <w:tblBorders>
          <w:top w:val="single" w:color="E5E7EB" w:sz="2"/>
          <w:left w:val="single" w:color="E5E7EB" w:sz="2"/>
          <w:bottom w:val="single" w:color="E5E7EB" w:sz="2"/>
          <w:right w:val="single" w:color="E5E7EB" w:sz="2"/>
          <w:insideH w:val="single" w:color="E5E7EB" w:sz="2"/>
          <w:insideV w:val="single" w:color="E5E7EB" w:sz="2"/>
        </w:tblBorders>
      </w:tblPr>
      <w:tblGrid>
        <w:gridCol w:w="100"/>
        <w:gridCol w:w="100"/>
      </w:tblGrid>
      <w:tr>
        <w:trPr>
          <w:tblHeader/>
        </w:trPr>
        <w:tc>
          <w:tcPr>
            <w:tcW w:type="dxa" w:w="2600"/>
            <w:shd w:fill="2563EB" w:val="clear"/>
            <w:tcMar>
              <w:top w:type="dxa" w:w="60"/>
              <w:left w:type="dxa" w:w="90"/>
              <w:bottom w:type="dxa" w:w="60"/>
              <w:right w:type="dxa" w:w="90"/>
            </w:tcMar>
          </w:tcPr>
          <w:p>
            <w:pPr>
              <w:spacing w:after="30" w:before="30"/>
            </w:pPr>
            <w:r>
              <w:rPr>
                <w:rFonts w:ascii="Calibri" w:cs="Calibri" w:eastAsia="Calibri" w:hAnsi="Calibri"/>
                <w:b/>
                <w:bCs/>
                <w:color w:val="FFFFFF"/>
                <w:sz w:val="19"/>
                <w:szCs w:val="19"/>
              </w:rPr>
              <w:t xml:space="preserve">Module / Section</w:t>
            </w:r>
          </w:p>
        </w:tc>
        <w:tc>
          <w:tcPr>
            <w:tcW w:type="dxa" w:w="6900"/>
            <w:shd w:fill="2563EB" w:val="clear"/>
            <w:tcMar>
              <w:top w:type="dxa" w:w="60"/>
              <w:left w:type="dxa" w:w="90"/>
              <w:bottom w:type="dxa" w:w="60"/>
              <w:right w:type="dxa" w:w="90"/>
            </w:tcMar>
          </w:tcPr>
          <w:p>
            <w:pPr>
              <w:spacing w:after="30" w:before="30"/>
            </w:pPr>
            <w:r>
              <w:rPr>
                <w:rFonts w:ascii="Calibri" w:cs="Calibri" w:eastAsia="Calibri" w:hAnsi="Calibri"/>
                <w:b/>
                <w:bCs/>
                <w:color w:val="FFFFFF"/>
                <w:sz w:val="19"/>
                <w:szCs w:val="19"/>
              </w:rPr>
              <w:t xml:space="preserve">Responsibility</w:t>
            </w:r>
          </w:p>
        </w:tc>
      </w:tr>
      <w:tr>
        <w:tc>
          <w:tcPr>
            <w:tcW w:type="dxa" w:w="2600"/>
            <w:shd w:fill="FFFFFF"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Configuration &amp; Styling</w:t>
            </w:r>
          </w:p>
        </w:tc>
        <w:tc>
          <w:tcPr>
            <w:tcW w:type="dxa" w:w="6900"/>
            <w:shd w:fill="FFFFFF"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st.set_page_config(), the CUSTOM_CSS string injected via st.markdown(), and .streamlit/config.toml. Sets the page title/icon/layout and enforces the white-and-blue visual identity and single light theme.</w:t>
            </w:r>
          </w:p>
        </w:tc>
      </w:tr>
      <w:tr>
        <w:tc>
          <w:tcPr>
            <w:tcW w:type="dxa" w:w="2600"/>
            <w:shd w:fill="F3F4F6"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Constants</w:t>
            </w:r>
          </w:p>
        </w:tc>
        <w:tc>
          <w:tcPr>
            <w:tcW w:type="dxa" w:w="6900"/>
            <w:shd w:fill="F3F4F6"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BRICK_SIZES (dimensions of the three brick types) and the mortar/sand ratios — MORTAR_JOINT_THICKNESS, MORTAR_RATIO_OF_WALL_VOLUME, DRY_VOLUME_FACTOR, SAND_MIX_RATIO, CEMENT_MIX_RATIO, WASTAGE_PERCENT. Keeping these as named constants at the top of the file means every formula elsewhere in the app reads like a sentence instead of a string of unexplained numbers.</w:t>
            </w:r>
          </w:p>
        </w:tc>
      </w:tr>
      <w:tr>
        <w:tc>
          <w:tcPr>
            <w:tcW w:type="dxa" w:w="2600"/>
            <w:shd w:fill="FFFFFF"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Calculation Functions</w:t>
            </w:r>
          </w:p>
        </w:tc>
        <w:tc>
          <w:tcPr>
            <w:tcW w:type="dxa" w:w="6900"/>
            <w:shd w:fill="FFFFFF"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Nine small, single-purpose functions (calculate_perimeter through calculate_sand_volume) plus validate_inputs(). None of them touch Streamlit — they take plain numbers in and return plain numbers out, which is what let the same formulas be reused for both the on-screen calculation trail and the PDF report.</w:t>
            </w:r>
          </w:p>
        </w:tc>
      </w:tr>
      <w:tr>
        <w:tc>
          <w:tcPr>
            <w:tcW w:type="dxa" w:w="2600"/>
            <w:shd w:fill="F3F4F6"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Report Generation Module</w:t>
            </w:r>
          </w:p>
        </w:tc>
        <w:tc>
          <w:tcPr>
            <w:tcW w:type="dxa" w:w="6900"/>
            <w:shd w:fill="F3F4F6"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generate_report() and its helper _build_kv_table(), both built on ReportLab. This module is completely independent of the Streamlit UI — it takes three plain dictionaries/lists (inputs, calculated values, recommendations) and returns PDF bytes, so it could be reused unchanged even outside a Streamlit app.</w:t>
            </w:r>
          </w:p>
        </w:tc>
      </w:tr>
      <w:tr>
        <w:tc>
          <w:tcPr>
            <w:tcW w:type="dxa" w:w="2600"/>
            <w:shd w:fill="FFFFFF"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UI Helper</w:t>
            </w:r>
          </w:p>
        </w:tc>
        <w:tc>
          <w:tcPr>
            <w:tcW w:type="dxa" w:w="6900"/>
            <w:shd w:fill="FFFFFF"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render_card(), a small function that wraps a title, a value, and a subtext string into the same styled HTML card used for both the Bricks and Sand summary cards, avoiding repeated markup.</w:t>
            </w:r>
          </w:p>
        </w:tc>
      </w:tr>
      <w:tr>
        <w:tc>
          <w:tcPr>
            <w:tcW w:type="dxa" w:w="2600"/>
            <w:shd w:fill="F3F4F6"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Sidebar Input Section</w:t>
            </w:r>
          </w:p>
        </w:tc>
        <w:tc>
          <w:tcPr>
            <w:tcW w:type="dxa" w:w="6900"/>
            <w:shd w:fill="F3F4F6"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The block of st.sidebar.* calls that collect all user inputs and the Estimate Materials button.</w:t>
            </w:r>
          </w:p>
        </w:tc>
      </w:tr>
      <w:tr>
        <w:tc>
          <w:tcPr>
            <w:tcW w:type="dxa" w:w="2600"/>
            <w:shd w:fill="FFFFFF"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Main Logic Block</w:t>
            </w:r>
          </w:p>
        </w:tc>
        <w:tc>
          <w:tcPr>
            <w:tcW w:type="dxa" w:w="6900"/>
            <w:shd w:fill="FFFFFF"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The if estimate_clicked: block that ties everything together — calls validation, runs the calculation chain, and populates st.session_state.</w:t>
            </w:r>
          </w:p>
        </w:tc>
      </w:tr>
      <w:tr>
        <w:tc>
          <w:tcPr>
            <w:tcW w:type="dxa" w:w="2600"/>
            <w:shd w:fill="F3F4F6"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Results Dashboard Section</w:t>
            </w:r>
          </w:p>
        </w:tc>
        <w:tc>
          <w:tcPr>
            <w:tcW w:type="dxa" w:w="6900"/>
            <w:shd w:fill="F3F4F6" w:val="clear"/>
            <w:tcMar>
              <w:top w:type="dxa" w:w="55"/>
              <w:left w:type="dxa" w:w="90"/>
              <w:bottom w:type="dxa" w:w="55"/>
              <w:right w:type="dxa" w:w="90"/>
            </w:tcMar>
          </w:tcPr>
          <w:p>
            <w:pPr>
              <w:spacing w:after="30" w:before="30"/>
            </w:pPr>
            <w:r>
              <w:rPr>
                <w:rFonts w:ascii="Calibri" w:cs="Calibri" w:eastAsia="Calibri" w:hAnsi="Calibri"/>
                <w:b w:val="false"/>
                <w:bCs w:val="false"/>
                <w:color w:val="111827"/>
                <w:sz w:val="19"/>
                <w:szCs w:val="19"/>
              </w:rPr>
              <w:t xml:space="preserve">The if st.session_state.results_ready: block that renders metrics, cards, the expander, the summary table, recommendations, and the download button.</w:t>
            </w:r>
          </w:p>
        </w:tc>
      </w:tr>
    </w:tbl>
    <w:p>
      <w:pPr>
        <w:spacing w:after="80"/>
      </w:pPr>
    </w:p>
    <w:p>
      <w:pPr>
        <w:spacing w:after="90" w:line="248"/>
        <w:jc w:val="both"/>
      </w:pPr>
      <w:r>
        <w:rPr>
          <w:rFonts w:ascii="Calibri" w:cs="Calibri" w:eastAsia="Calibri" w:hAnsi="Calibri"/>
          <w:color w:val="111827"/>
          <w:sz w:val="20"/>
          <w:szCs w:val="20"/>
        </w:rPr>
        <w:t xml:space="preserve">The dependency direction is intentionally one-way: the calculation functions know nothing about Streamlit or ReportLab, the report module knows nothing about Streamlit's widgets, and only the top-level script logic ties all three together. This separation is what made it straightforward to switch the report output from a plain-text file to a fully styled PDF later in development without changing a single calculation function.</w:t>
      </w:r>
    </w:p>
    <w:p>
      <w:pPr>
        <w:pStyle w:val="Heading1"/>
        <w:pBdr>
          <w:bottom w:val="single" w:color="2563EB" w:sz="6" w:space="4"/>
        </w:pBdr>
        <w:spacing w:after="100" w:before="200"/>
      </w:pPr>
      <w:r>
        <w:rPr>
          <w:rFonts w:ascii="Calibri" w:cs="Calibri" w:eastAsia="Calibri" w:hAnsi="Calibri"/>
          <w:b/>
          <w:bCs/>
          <w:color w:val="2563EB"/>
          <w:sz w:val="28"/>
          <w:szCs w:val="28"/>
        </w:rPr>
        <w:t xml:space="preserve">8. Challenges Faced During Development and How They Were Addressed</w:t>
      </w:r>
    </w:p>
    <w:p>
      <w:pPr>
        <w:pStyle w:val="Heading2"/>
        <w:spacing w:after="70" w:before="140"/>
      </w:pPr>
      <w:r>
        <w:rPr>
          <w:rFonts w:ascii="Calibri" w:cs="Calibri" w:eastAsia="Calibri" w:hAnsi="Calibri"/>
          <w:b/>
          <w:bCs/>
          <w:color w:val="111827"/>
          <w:sz w:val="22"/>
          <w:szCs w:val="22"/>
        </w:rPr>
        <w:t xml:space="preserve">8.1 Modelling mortar and sand without over-engineering it</w:t>
      </w:r>
    </w:p>
    <w:p>
      <w:pPr>
        <w:spacing w:after="90" w:line="248"/>
        <w:jc w:val="both"/>
      </w:pPr>
      <w:r>
        <w:rPr>
          <w:rFonts w:ascii="Calibri" w:cs="Calibri" w:eastAsia="Calibri" w:hAnsi="Calibri"/>
          <w:color w:val="111827"/>
          <w:sz w:val="20"/>
          <w:szCs w:val="20"/>
        </w:rPr>
        <w:t xml:space="preserve">A precise mortar and sand calculation depends on the exact coursing pattern of the bricks and the specific mix a contractor plans to use — modelling that exactly would need far more inputs than a simple estimator should ask for. I settled on a practical middle ground: treat mortar volume as a fixed proportion of wall volume (MORTAR_RATIO_OF_WALL_VOLUME = 0.30), and derive sand from that using the standard dry-volume factor (1.33) and a 1:5 cement:sand ratio. This keeps the tool useful as a first-pass estimator without pretending to be a full structural design tool.</w:t>
      </w:r>
    </w:p>
    <w:p>
      <w:pPr>
        <w:pStyle w:val="Heading2"/>
        <w:spacing w:after="70" w:before="140"/>
      </w:pPr>
      <w:r>
        <w:rPr>
          <w:rFonts w:ascii="Calibri" w:cs="Calibri" w:eastAsia="Calibri" w:hAnsi="Calibri"/>
          <w:b/>
          <w:bCs/>
          <w:color w:val="111827"/>
          <w:sz w:val="22"/>
          <w:szCs w:val="22"/>
        </w:rPr>
        <w:t xml:space="preserve">8.2 Keeping the dashboard visible after the first click</w:t>
      </w:r>
    </w:p>
    <w:p>
      <w:pPr>
        <w:spacing w:after="90" w:line="248"/>
        <w:jc w:val="both"/>
      </w:pPr>
      <w:r>
        <w:rPr>
          <w:rFonts w:ascii="Calibri" w:cs="Calibri" w:eastAsia="Calibri" w:hAnsi="Calibri"/>
          <w:color w:val="111827"/>
          <w:sz w:val="20"/>
          <w:szCs w:val="20"/>
        </w:rPr>
        <w:t xml:space="preserve">Because Streamlit reruns the entire script on every widget interaction, my first version lost its results the moment the user opened the Calculation Details expander — the `if estimate_clicked:` block evaluated to False again and the dashboard vanished. I fixed this by moving every computed value into st.session_state (results_ready, calc_results, user_inputs) and rendering the dashboard from a separate `if st.session_state.results_ready:` block, so results now persist across reruns.</w:t>
      </w:r>
    </w:p>
    <w:p>
      <w:pPr>
        <w:pStyle w:val="Heading2"/>
        <w:spacing w:after="70" w:before="140"/>
      </w:pPr>
      <w:r>
        <w:rPr>
          <w:rFonts w:ascii="Calibri" w:cs="Calibri" w:eastAsia="Calibri" w:hAnsi="Calibri"/>
          <w:b/>
          <w:bCs/>
          <w:color w:val="111827"/>
          <w:sz w:val="22"/>
          <w:szCs w:val="22"/>
        </w:rPr>
        <w:t xml:space="preserve">8.3 Rejecting nonsensical inputs instead of silently clamping them</w:t>
      </w:r>
    </w:p>
    <w:p>
      <w:pPr>
        <w:spacing w:after="90" w:line="248"/>
        <w:jc w:val="both"/>
      </w:pPr>
      <w:r>
        <w:rPr>
          <w:rFonts w:ascii="Calibri" w:cs="Calibri" w:eastAsia="Calibri" w:hAnsi="Calibri"/>
          <w:color w:val="111827"/>
          <w:sz w:val="20"/>
          <w:szCs w:val="20"/>
        </w:rPr>
        <w:t xml:space="preserve">Early on it was possible to enter openings larger than the wall itself and still get a negative, meaningless net wall area back. I added a second validation pass inside validate_inputs() that recomputes the gross area and opening area before the main calculation runs, and rejects the input outright if openings equal or exceed the gross wall area.</w:t>
      </w:r>
    </w:p>
    <w:p>
      <w:pPr>
        <w:pStyle w:val="Heading2"/>
        <w:spacing w:after="70" w:before="140"/>
      </w:pPr>
      <w:r>
        <w:rPr>
          <w:rFonts w:ascii="Calibri" w:cs="Calibri" w:eastAsia="Calibri" w:hAnsi="Calibri"/>
          <w:b/>
          <w:bCs/>
          <w:color w:val="111827"/>
          <w:sz w:val="22"/>
          <w:szCs w:val="22"/>
        </w:rPr>
        <w:t xml:space="preserve">8.4 Moving from a plain-text report to a styled PDF</w:t>
      </w:r>
    </w:p>
    <w:p>
      <w:pPr>
        <w:spacing w:after="90" w:line="248"/>
        <w:jc w:val="both"/>
      </w:pPr>
      <w:r>
        <w:rPr>
          <w:rFonts w:ascii="Calibri" w:cs="Calibri" w:eastAsia="Calibri" w:hAnsi="Calibri"/>
          <w:color w:val="111827"/>
          <w:sz w:val="20"/>
          <w:szCs w:val="20"/>
        </w:rPr>
        <w:t xml:space="preserve">The report was originally a plain .txt file, which did not look professional enough to hand to a client. Moving to ReportLab meant learning its platypus layout model and building a reusable _build_kv_table() helper so both tables share one style. The report is generated entirely in memory using a BytesIO buffer, so no temporary file is written before it reaches the browser.</w:t>
      </w:r>
    </w:p>
    <w:p>
      <w:pPr>
        <w:pStyle w:val="Heading2"/>
        <w:spacing w:after="70" w:before="140"/>
      </w:pPr>
      <w:r>
        <w:rPr>
          <w:rFonts w:ascii="Calibri" w:cs="Calibri" w:eastAsia="Calibri" w:hAnsi="Calibri"/>
          <w:b/>
          <w:bCs/>
          <w:color w:val="111827"/>
          <w:sz w:val="22"/>
          <w:szCs w:val="22"/>
        </w:rPr>
        <w:t xml:space="preserve">8.5 Making the theme consistently light</w:t>
      </w:r>
    </w:p>
    <w:p>
      <w:pPr>
        <w:spacing w:after="90" w:line="248"/>
        <w:jc w:val="both"/>
      </w:pPr>
      <w:r>
        <w:rPr>
          <w:rFonts w:ascii="Calibri" w:cs="Calibri" w:eastAsia="Calibri" w:hAnsi="Calibri"/>
          <w:color w:val="111827"/>
          <w:sz w:val="20"/>
          <w:szCs w:val="20"/>
        </w:rPr>
        <w:t xml:space="preserve">Streamlit normally lets each visitor pick Light, Dark, or "Use system setting," which could clash with the app's blue-and-white design. Rather than fighting this with CSS alone, I added a .streamlit/config.toml with a single [theme] table — one custom theme, instead of separate light/dark tables, removes the alternate options from the selector entirely.</w:t>
      </w:r>
    </w:p>
    <w:p>
      <w:pPr>
        <w:pStyle w:val="Heading1"/>
        <w:pBdr>
          <w:bottom w:val="single" w:color="2563EB" w:sz="6" w:space="4"/>
        </w:pBdr>
        <w:spacing w:after="100" w:before="200"/>
      </w:pPr>
      <w:r>
        <w:rPr>
          <w:rFonts w:ascii="Calibri" w:cs="Calibri" w:eastAsia="Calibri" w:hAnsi="Calibri"/>
          <w:b/>
          <w:bCs/>
          <w:color w:val="2563EB"/>
          <w:sz w:val="28"/>
          <w:szCs w:val="28"/>
        </w:rPr>
        <w:t xml:space="preserve">9. Current Limitations</w:t>
      </w:r>
    </w:p>
    <w:p>
      <w:pPr>
        <w:pStyle w:val="ListParagraph"/>
        <w:numPr>
          <w:ilvl w:val="0"/>
          <w:numId w:val="2"/>
        </w:numPr>
        <w:spacing w:after="60" w:line="250"/>
      </w:pPr>
      <w:r>
        <w:rPr>
          <w:rFonts w:ascii="Calibri" w:cs="Calibri" w:eastAsia="Calibri" w:hAnsi="Calibri"/>
          <w:color w:val="111827"/>
          <w:sz w:val="20"/>
          <w:szCs w:val="20"/>
        </w:rPr>
        <w:t xml:space="preserve">Only supports simple rectangular buildings — the perimeter formula (2 × (length + width)) does not account for L-shaped, curved, or multi-wing floor plans.</w:t>
      </w:r>
    </w:p>
    <w:p>
      <w:pPr>
        <w:pStyle w:val="ListParagraph"/>
        <w:numPr>
          <w:ilvl w:val="0"/>
          <w:numId w:val="2"/>
        </w:numPr>
        <w:spacing w:after="60" w:line="250"/>
      </w:pPr>
      <w:r>
        <w:rPr>
          <w:rFonts w:ascii="Calibri" w:cs="Calibri" w:eastAsia="Calibri" w:hAnsi="Calibri"/>
          <w:color w:val="111827"/>
          <w:sz w:val="20"/>
          <w:szCs w:val="20"/>
        </w:rPr>
        <w:t xml:space="preserve">Mortar and sand use fixed industry approximations (30% of wall volume, 1:5 cement-sand) rather than a user-adjustable ratio, so figures are a solid first estimate, not a detailed Bill of Quantities.</w:t>
      </w:r>
    </w:p>
    <w:p>
      <w:pPr>
        <w:pStyle w:val="ListParagraph"/>
        <w:numPr>
          <w:ilvl w:val="0"/>
          <w:numId w:val="2"/>
        </w:numPr>
        <w:spacing w:after="60" w:line="250"/>
      </w:pPr>
      <w:r>
        <w:rPr>
          <w:rFonts w:ascii="Calibri" w:cs="Calibri" w:eastAsia="Calibri" w:hAnsi="Calibri"/>
          <w:color w:val="111827"/>
          <w:sz w:val="20"/>
          <w:szCs w:val="20"/>
        </w:rPr>
        <w:t xml:space="preserve">Cement quantity is not calculated separately — only sand volume is derived from the mortar volume.</w:t>
      </w:r>
    </w:p>
    <w:p>
      <w:pPr>
        <w:pStyle w:val="ListParagraph"/>
        <w:numPr>
          <w:ilvl w:val="0"/>
          <w:numId w:val="2"/>
        </w:numPr>
        <w:spacing w:after="60" w:line="250"/>
      </w:pPr>
      <w:r>
        <w:rPr>
          <w:rFonts w:ascii="Calibri" w:cs="Calibri" w:eastAsia="Calibri" w:hAnsi="Calibri"/>
          <w:color w:val="111827"/>
          <w:sz w:val="20"/>
          <w:szCs w:val="20"/>
        </w:rPr>
        <w:t xml:space="preserve">The application models a single wall height and thickness for the whole building; it cannot represent mixed thicknesses (e.g. thicker external walls, thinner partitions) in one estimate.</w:t>
      </w:r>
    </w:p>
    <w:p>
      <w:pPr>
        <w:pStyle w:val="ListParagraph"/>
        <w:numPr>
          <w:ilvl w:val="0"/>
          <w:numId w:val="2"/>
        </w:numPr>
        <w:spacing w:after="60" w:line="250"/>
      </w:pPr>
      <w:r>
        <w:rPr>
          <w:rFonts w:ascii="Calibri" w:cs="Calibri" w:eastAsia="Calibri" w:hAnsi="Calibri"/>
          <w:color w:val="111827"/>
          <w:sz w:val="20"/>
          <w:szCs w:val="20"/>
        </w:rPr>
        <w:t xml:space="preserve">There is no persistence between sessions — with no database, closing the tab loses the current estimate unless the PDF has already been downloaded.</w:t>
      </w:r>
    </w:p>
    <w:p>
      <w:pPr>
        <w:pStyle w:val="ListParagraph"/>
        <w:numPr>
          <w:ilvl w:val="0"/>
          <w:numId w:val="2"/>
        </w:numPr>
        <w:spacing w:after="60" w:line="250"/>
      </w:pPr>
      <w:r>
        <w:rPr>
          <w:rFonts w:ascii="Calibri" w:cs="Calibri" w:eastAsia="Calibri" w:hAnsi="Calibri"/>
          <w:color w:val="111827"/>
          <w:sz w:val="20"/>
          <w:szCs w:val="20"/>
        </w:rPr>
        <w:t xml:space="preserve">Multi-storey buildings are not modelled directly; a multi-floor estimate currently means running the tool once per floor and adding the results manually.</w:t>
      </w:r>
    </w:p>
    <w:p>
      <w:pPr>
        <w:pStyle w:val="Heading1"/>
        <w:pBdr>
          <w:bottom w:val="single" w:color="2563EB" w:sz="6" w:space="4"/>
        </w:pBdr>
        <w:spacing w:after="100" w:before="200"/>
      </w:pPr>
      <w:r>
        <w:rPr>
          <w:rFonts w:ascii="Calibri" w:cs="Calibri" w:eastAsia="Calibri" w:hAnsi="Calibri"/>
          <w:b/>
          <w:bCs/>
          <w:color w:val="2563EB"/>
          <w:sz w:val="28"/>
          <w:szCs w:val="28"/>
        </w:rPr>
        <w:t xml:space="preserve">10. Possible Future Enhancements</w:t>
      </w:r>
    </w:p>
    <w:p>
      <w:pPr>
        <w:pStyle w:val="ListParagraph"/>
        <w:numPr>
          <w:ilvl w:val="0"/>
          <w:numId w:val="2"/>
        </w:numPr>
        <w:spacing w:after="60" w:line="250"/>
      </w:pPr>
      <w:r>
        <w:rPr>
          <w:rFonts w:ascii="Calibri" w:cs="Calibri" w:eastAsia="Calibri" w:hAnsi="Calibri"/>
          <w:color w:val="111827"/>
          <w:sz w:val="20"/>
          <w:szCs w:val="20"/>
        </w:rPr>
        <w:t xml:space="preserve">Support for non-rectangular and multi-room floor plans, by letting the user add multiple wall segments instead of a single length/width pair.</w:t>
      </w:r>
    </w:p>
    <w:p>
      <w:pPr>
        <w:pStyle w:val="ListParagraph"/>
        <w:numPr>
          <w:ilvl w:val="0"/>
          <w:numId w:val="2"/>
        </w:numPr>
        <w:spacing w:after="60" w:line="250"/>
      </w:pPr>
      <w:r>
        <w:rPr>
          <w:rFonts w:ascii="Calibri" w:cs="Calibri" w:eastAsia="Calibri" w:hAnsi="Calibri"/>
          <w:color w:val="111827"/>
          <w:sz w:val="20"/>
          <w:szCs w:val="20"/>
        </w:rPr>
        <w:t xml:space="preserve">A separate cement and steel estimator, extending the same mortar-volume logic already used for sand.</w:t>
      </w:r>
    </w:p>
    <w:p>
      <w:pPr>
        <w:pStyle w:val="ListParagraph"/>
        <w:numPr>
          <w:ilvl w:val="0"/>
          <w:numId w:val="2"/>
        </w:numPr>
        <w:spacing w:after="60" w:line="250"/>
      </w:pPr>
      <w:r>
        <w:rPr>
          <w:rFonts w:ascii="Calibri" w:cs="Calibri" w:eastAsia="Calibri" w:hAnsi="Calibri"/>
          <w:color w:val="111827"/>
          <w:sz w:val="20"/>
          <w:szCs w:val="20"/>
        </w:rPr>
        <w:t xml:space="preserve">Multi-storey support, where the user specifies a number of floors and the app totals the wall calculation automatically instead of requiring manual repetition.</w:t>
      </w:r>
    </w:p>
    <w:p>
      <w:pPr>
        <w:pStyle w:val="ListParagraph"/>
        <w:numPr>
          <w:ilvl w:val="0"/>
          <w:numId w:val="2"/>
        </w:numPr>
        <w:spacing w:after="60" w:line="250"/>
      </w:pPr>
      <w:r>
        <w:rPr>
          <w:rFonts w:ascii="Calibri" w:cs="Calibri" w:eastAsia="Calibri" w:hAnsi="Calibri"/>
          <w:color w:val="111827"/>
          <w:sz w:val="20"/>
          <w:szCs w:val="20"/>
        </w:rPr>
        <w:t xml:space="preserve">An editable mix ratio input (currently fixed at 1:5 cement:sand) for users working to a different specification.</w:t>
      </w:r>
    </w:p>
    <w:p>
      <w:pPr>
        <w:pStyle w:val="ListParagraph"/>
        <w:numPr>
          <w:ilvl w:val="0"/>
          <w:numId w:val="2"/>
        </w:numPr>
        <w:spacing w:after="60" w:line="250"/>
      </w:pPr>
      <w:r>
        <w:rPr>
          <w:rFonts w:ascii="Calibri" w:cs="Calibri" w:eastAsia="Calibri" w:hAnsi="Calibri"/>
          <w:color w:val="111827"/>
          <w:sz w:val="20"/>
          <w:szCs w:val="20"/>
        </w:rPr>
        <w:t xml:space="preserve">Cost estimation, by letting the user enter a price per brick and per unit of sand so the report also shows an approximate material cost.</w:t>
      </w:r>
    </w:p>
    <w:p>
      <w:pPr>
        <w:pStyle w:val="ListParagraph"/>
        <w:numPr>
          <w:ilvl w:val="0"/>
          <w:numId w:val="2"/>
        </w:numPr>
        <w:spacing w:after="60" w:line="250"/>
      </w:pPr>
      <w:r>
        <w:rPr>
          <w:rFonts w:ascii="Calibri" w:cs="Calibri" w:eastAsia="Calibri" w:hAnsi="Calibri"/>
          <w:color w:val="111827"/>
          <w:sz w:val="20"/>
          <w:szCs w:val="20"/>
        </w:rPr>
        <w:t xml:space="preserve">Exporting the project summary as an Excel/CSV file in addition to the PDF, for users who want to plug figures into their own spreadsheets.</w:t>
      </w:r>
    </w:p>
    <w:p>
      <w:pPr>
        <w:pStyle w:val="Heading1"/>
        <w:pBdr>
          <w:bottom w:val="single" w:color="2563EB" w:sz="6" w:space="4"/>
        </w:pBdr>
        <w:spacing w:after="100" w:before="200"/>
      </w:pPr>
      <w:r>
        <w:rPr>
          <w:rFonts w:ascii="Calibri" w:cs="Calibri" w:eastAsia="Calibri" w:hAnsi="Calibri"/>
          <w:b/>
          <w:bCs/>
          <w:color w:val="2563EB"/>
          <w:sz w:val="28"/>
          <w:szCs w:val="28"/>
        </w:rPr>
        <w:t xml:space="preserve">11. Conclusion</w:t>
      </w:r>
    </w:p>
    <w:p>
      <w:pPr>
        <w:spacing w:after="90" w:line="248"/>
        <w:jc w:val="both"/>
      </w:pPr>
      <w:r>
        <w:rPr>
          <w:rFonts w:ascii="Calibri" w:cs="Calibri" w:eastAsia="Calibri" w:hAnsi="Calibri"/>
          <w:color w:val="111827"/>
          <w:sz w:val="20"/>
          <w:szCs w:val="20"/>
        </w:rPr>
        <w:t xml:space="preserve">Construction Intelligence Hub does one job and does it thoroughly: it turns a handful of building measurements into a reliable, transparent material estimate, and it does so entirely offline, in a single Python file, with no external services involved. Building it meant working through some genuinely practical problems — how to model mortar and sand without over-complicating the inputs, how to keep Streamlit's rerun-on-every-interaction behaviour from wiping out results, and how to make a downloadable report look like something worth handing to a client rather than a raw text dump.</w:t>
      </w:r>
    </w:p>
    <w:p>
      <w:pPr>
        <w:spacing w:after="90" w:line="248"/>
        <w:jc w:val="both"/>
      </w:pPr>
      <w:r>
        <w:rPr>
          <w:rFonts w:ascii="Calibri" w:cs="Calibri" w:eastAsia="Calibri" w:hAnsi="Calibri"/>
          <w:color w:val="111827"/>
          <w:sz w:val="20"/>
          <w:szCs w:val="20"/>
        </w:rPr>
        <w:t xml:space="preserve">The result is an application where every number on the dashboard can be traced back to a named constant and a small, readable function, and where the same calculation logic drives both the on-screen dashboard and the PDF export — so the two can never disagree. While it is currently limited to simple rectangular structures, the modular way the code is organised (separate, Streamlit-independent calculation functions and a separate, Streamlit-independent report generator) means the features listed as future enhancements can be added incrementally without rewriting what already works.</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120"/>
      <w:jc w:val="right"/>
    </w:pPr>
    <w:r>
      <w:rPr>
        <w:rFonts w:ascii="Calibri" w:cs="Calibri" w:eastAsia="Calibri" w:hAnsi="Calibri"/>
        <w:color w:val="6B7280"/>
        <w:sz w:val="16"/>
        <w:szCs w:val="16"/>
      </w:rPr>
      <w:t xml:space="preserve">Construction Intelligence Hub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color w:val="2563E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2026-07-03T05:59:11.389Z</dcterms:created>
  <dcterms:modified xsi:type="dcterms:W3CDTF">2026-07-03T05:59:11.409Z</dcterms:modified>
</cp:coreProperties>
</file>

<file path=docProps/custom.xml><?xml version="1.0" encoding="utf-8"?>
<Properties xmlns="http://schemas.openxmlformats.org/officeDocument/2006/custom-properties" xmlns:vt="http://schemas.openxmlformats.org/officeDocument/2006/docPropsVTypes"/>
</file>