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r>
              <w:rPr>
                <w:rFonts w:ascii="Calibri" w:cs="Calibri" w:eastAsia="Calibri" w:hAnsi="Calibri"/>
                <w:b/>
                <w:bCs/>
                <w:color w:val="00B4CC"/>
                <w:sz w:val="18"/>
                <w:szCs w:val="18"/>
              </w:rPr>
              <w:t xml:space="preserve">3D Visualization &amp; Analytics</w:t>
            </w:r>
            <w:r>
              <w:rPr>
                <w:rFonts w:ascii="Calibri" w:cs="Calibri" w:eastAsia="Calibri" w:hAnsi="Calibri"/>
                <w:color w:val="666688"/>
                <w:sz w:val="18"/>
                <w:szCs w:val="18"/>
              </w:rPr>
              <w:t xml:space="preserve">   ·   </w:t>
            </w:r>
            <w:r>
              <w:rPr>
                <w:rFonts w:ascii="Calibri" w:cs="Calibri" w:eastAsia="Calibri" w:hAnsi="Calibri"/>
                <w:b/>
                <w:bCs/>
                <w:color w:val="00B4CC"/>
                <w:sz w:val="18"/>
                <w:szCs w:val="18"/>
              </w:rPr>
              <w:t xml:space="preserve">ArcGIS Pro SDK</w:t>
            </w:r>
            <w:r>
              <w:rPr>
                <w:rFonts w:ascii="Calibri" w:cs="Calibri" w:eastAsia="Calibri" w:hAnsi="Calibri"/>
                <w:color w:val="666688"/>
                <w:sz w:val="18"/>
                <w:szCs w:val="18"/>
              </w:rPr>
              <w:t xml:space="preserve">   ·   </w:t>
            </w:r>
            <w:r>
              <w:rPr>
                <w:rFonts w:ascii="Calibri" w:cs="Calibri" w:eastAsia="Calibri" w:hAnsi="Calibri"/>
                <w:b/>
                <w:bCs/>
                <w:color w:val="00B4CC"/>
                <w:sz w:val="18"/>
                <w:szCs w:val="18"/>
              </w:rPr>
              <w:t xml:space="preserve">ArcGIS Maps SDK for JavaScript</w:t>
            </w:r>
          </w:p>
        </w:tc>
      </w:tr>
    </w:tbl>
    <w:p>
      <w:pPr>
        <w:spacing w:after="60"/>
      </w:pPr>
      <w:r>
        <w:t xml:space="preserve"/>
      </w:r>
    </w:p>
    <w:p>
      <w:pPr>
        <w:pStyle w:val="Heading1"/>
        <w:spacing w:after="80"/>
      </w:pPr>
      <w:r>
        <w:rPr>
          <w:rFonts w:ascii="Calibri" w:cs="Calibri" w:eastAsia="Calibri" w:hAnsi="Calibri"/>
          <w:b/>
          <w:bCs/>
          <w:color w:val="1D1D1D"/>
          <w:sz w:val="48"/>
          <w:szCs w:val="48"/>
        </w:rPr>
        <w:t xml:space="preserve">Turning Shadows into Data</w:t>
      </w:r>
    </w:p>
    <w:p>
      <w:pPr>
        <w:spacing w:after="160"/>
      </w:pPr>
      <w:r>
        <w:rPr>
          <w:rFonts w:ascii="Calibri" w:cs="Calibri" w:eastAsia="Calibri" w:hAnsi="Calibri"/>
          <w:b/>
          <w:bCs/>
          <w:i/>
          <w:iCs/>
          <w:color w:val="0079C1"/>
          <w:sz w:val="34"/>
          <w:szCs w:val="34"/>
        </w:rPr>
        <w:t xml:space="preserve">From Visual Effect to Persistent GIS Feature Layer</w:t>
      </w:r>
    </w:p>
    <w:p>
      <w:pPr>
        <w:spacing w:after="80" w:before="0"/>
        <w:jc w:val="left"/>
      </w:pPr>
      <w:r>
        <w:rPr>
          <w:rFonts w:ascii="Calibri" w:cs="Calibri" w:eastAsia="Calibri" w:hAnsi="Calibri"/>
          <w:color w:val="767676"/>
          <w:sz w:val="20"/>
          <w:szCs w:val="20"/>
        </w:rPr>
        <w:t xml:space="preserve">By  </w:t>
      </w:r>
      <w:r>
        <w:rPr>
          <w:rFonts w:ascii="Calibri" w:cs="Calibri" w:eastAsia="Calibri" w:hAnsi="Calibri"/>
          <w:b/>
          <w:bCs/>
          <w:color w:val="1D1D1D"/>
          <w:sz w:val="20"/>
          <w:szCs w:val="20"/>
        </w:rPr>
        <w:t xml:space="preserve">Ariful Islam</w:t>
      </w:r>
      <w:r>
        <w:rPr>
          <w:rFonts w:ascii="Calibri" w:cs="Calibri" w:eastAsia="Calibri" w:hAnsi="Calibri"/>
          <w:color w:val="767676"/>
          <w:sz w:val="19"/>
          <w:szCs w:val="19"/>
        </w:rPr>
        <w:t xml:space="preserve">   ·   GIS Developer  ·  ArcGIS Pro SDK  ·  Maps SDK for JavaScript</w:t>
      </w:r>
    </w:p>
    <w:p>
      <w:pPr>
        <w:spacing w:after="200" w:before="0"/>
        <w:jc w:val="left"/>
      </w:pPr>
      <w:r>
        <w:rPr>
          <w:rFonts w:ascii="Calibri" w:cs="Calibri" w:eastAsia="Calibri" w:hAnsi="Calibri"/>
          <w:color w:val="767676"/>
          <w:sz w:val="19"/>
          <w:szCs w:val="19"/>
        </w:rPr>
        <w:t xml:space="preserve">April 2025</w:t>
      </w:r>
      <w:r>
        <w:rPr>
          <w:rFonts w:ascii="Calibri" w:cs="Calibri" w:eastAsia="Calibri" w:hAnsi="Calibri"/>
          <w:color w:val="767676"/>
          <w:sz w:val="19"/>
          <w:szCs w:val="19"/>
        </w:rPr>
        <w:t xml:space="preserve">   ·   10 min read</w:t>
      </w:r>
    </w:p>
    <w:p>
      <w:pPr>
        <w:pBdr>
          <w:bottom w:val="single" w:color="0079C1" w:sz="6" w:space="4"/>
        </w:pBdr>
        <w:spacing w:after="200"/>
      </w:pPr>
      <w:r>
        <w:t xml:space="preserve"/>
      </w:r>
    </w:p>
    <w:p>
      <w:pPr>
        <w:spacing w:after="160"/>
      </w:pPr>
      <w:r>
        <w:rPr>
          <w:rFonts w:ascii="Calibri" w:cs="Calibri" w:eastAsia="Calibri" w:hAnsi="Calibri"/>
          <w:b/>
          <w:bCs/>
          <w:i w:val="false"/>
          <w:iCs w:val="false"/>
          <w:color w:val="1D1D1D"/>
          <w:sz w:val="24"/>
          <w:szCs w:val="24"/>
        </w:rPr>
        <w:t xml:space="preserve">Have you ever wished that the shadows ArcGIS renders could be stored, queried, and reused across your GIS platform — not just viewed? This post shows you exactly how to do it.</w:t>
      </w:r>
    </w:p>
    <w:p>
      <w:pPr>
        <w:pStyle w:val="Heading2"/>
      </w:pPr>
      <w:r>
        <w:rPr>
          <w:rFonts w:ascii="Calibri" w:cs="Calibri" w:eastAsia="Calibri" w:hAnsi="Calibri"/>
          <w:b/>
          <w:bCs/>
          <w:color w:val="1D1D1D"/>
          <w:sz w:val="32"/>
          <w:szCs w:val="32"/>
        </w:rPr>
        <w:t xml:space="preserve">Introduction</w:t>
      </w:r>
    </w:p>
    <w:p>
      <w:pPr>
        <w:spacing w:after="160" w:before="0"/>
        <w:jc w:val="left"/>
      </w:pPr>
      <w:r>
        <w:rPr>
          <w:rFonts w:ascii="Calibri" w:cs="Calibri" w:eastAsia="Calibri" w:hAnsi="Calibri"/>
          <w:b w:val="false"/>
          <w:bCs w:val="false"/>
          <w:i w:val="false"/>
          <w:iCs w:val="false"/>
          <w:color w:val="4A4A4A"/>
          <w:sz w:val="22"/>
          <w:szCs w:val="22"/>
        </w:rPr>
        <w:t xml:space="preserve">Shadow analysis is one of the most visually compelling capabilities in ArcGIS. Urban planners use it to evaluate sunlight access, architects use it to simulate building impact before construction, and environmental consultants use it to assess pedestrian comfort in dense city neighborhoods.</w:t>
      </w:r>
    </w:p>
    <w:p>
      <w:pPr>
        <w:spacing w:after="160" w:before="0"/>
        <w:jc w:val="left"/>
      </w:pPr>
      <w:r>
        <w:rPr>
          <w:rFonts w:ascii="Calibri" w:cs="Calibri" w:eastAsia="Calibri" w:hAnsi="Calibri"/>
          <w:b w:val="false"/>
          <w:bCs w:val="false"/>
          <w:i w:val="false"/>
          <w:iCs w:val="false"/>
          <w:color w:val="4A4A4A"/>
          <w:sz w:val="22"/>
          <w:szCs w:val="22"/>
        </w:rPr>
        <w:t xml:space="preserve">But there is a problem that rarely gets discussed: every shadow you have ever generated in ArcGIS disappeared the moment you closed the scene.</w:t>
      </w:r>
    </w:p>
    <w:p>
      <w:pPr>
        <w:spacing w:after="160" w:before="0"/>
        <w:jc w:val="left"/>
      </w:pPr>
      <w:r>
        <w:rPr>
          <w:rFonts w:ascii="Calibri" w:cs="Calibri" w:eastAsia="Calibri" w:hAnsi="Calibri"/>
          <w:b w:val="false"/>
          <w:bCs w:val="false"/>
          <w:i w:val="false"/>
          <w:iCs w:val="false"/>
          <w:color w:val="4A4A4A"/>
          <w:sz w:val="22"/>
          <w:szCs w:val="22"/>
        </w:rPr>
        <w:t xml:space="preserve">The ShadowCast widget in the ArcGIS Maps SDK for JavaScript is a powerful tool — recently upgraded to a full analysis object. Yet its output is still a temporary visual overlay in a SceneView. It is not stored, not queryable, and not reusable across applications.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left w:val="single" w:color="0079C1" w:sz="12"/>
              <w:bottom w:val="none"/>
              <w:right w:val="none"/>
            </w:tcBorders>
            <w:shd w:fill="F0F7FF" w:val="clear"/>
            <w:tcMar>
              <w:top w:type="dxa" w:w="120"/>
              <w:left w:type="dxa" w:w="240"/>
              <w:bottom w:type="dxa" w:w="120"/>
              <w:right w:type="dxa" w:w="200"/>
            </w:tcMar>
          </w:tcPr>
          <w:p>
            <w:r>
              <w:rPr>
                <w:rFonts w:ascii="Calibri" w:cs="Calibri" w:eastAsia="Calibri" w:hAnsi="Calibri"/>
                <w:i/>
                <w:iCs/>
                <w:color w:val="1E3A5F"/>
                <w:sz w:val="26"/>
                <w:szCs w:val="26"/>
              </w:rPr>
              <w:t xml:space="preserve">“What if a shadow could be stored in a geodatabase, queried with SQL, and consumed by any GIS application — just like a feature layer?”</w:t>
            </w:r>
          </w:p>
        </w:tc>
      </w:tr>
    </w:tbl>
    <w:p>
      <w:pPr>
        <w:spacing w:after="160"/>
      </w:pPr>
      <w:r>
        <w:t xml:space="preserve"/>
      </w:r>
    </w:p>
    <w:p>
      <w:pPr>
        <w:spacing w:after="200" w:before="0"/>
        <w:jc w:val="left"/>
      </w:pPr>
      <w:r>
        <w:rPr>
          <w:rFonts w:ascii="Calibri" w:cs="Calibri" w:eastAsia="Calibri" w:hAnsi="Calibri"/>
          <w:b w:val="false"/>
          <w:bCs w:val="false"/>
          <w:i w:val="false"/>
          <w:iCs w:val="false"/>
          <w:color w:val="4A4A4A"/>
          <w:sz w:val="22"/>
          <w:szCs w:val="22"/>
        </w:rPr>
        <w:t xml:space="preserve">That is the question this project explores. Instead of treating shadows as a rendering effect, we generate them as persistent geospatial polygons using the ArcGIS Pro SDK for .NET, and then load them as a standard FeatureLayer in the ArcGIS Maps SDK for JavaScript. The result is a shadow dataset that can be queried, filtered by time, shared across teams, and integrated into any workflow that consumes feature data.</w:t>
      </w:r>
    </w:p>
    <w:tbl>
      <w:tblPr>
        <w:tblW w:type="dxa" w:w="9260"/>
        <w:tblBorders>
          <w:top w:val="none"/>
          <w:left w:val="none"/>
          <w:bottom w:val="none"/>
          <w:right w:val="none"/>
          <w:insideH w:val="single" w:color="auto" w:sz="4"/>
          <w:insideV w:val="single" w:color="auto" w:sz="4"/>
        </w:tblBorders>
      </w:tblPr>
      <w:tblGrid>
        <w:gridCol w:w="180"/>
        <w:gridCol w:w="9080"/>
      </w:tblGrid>
      <w:tr>
        <w:tc>
          <w:tcPr>
            <w:tcW w:type="dxa" w:w="180"/>
            <w:tcBorders>
              <w:top w:val="none" w:color="FFFFFF" w:sz="0"/>
              <w:left w:val="none" w:color="FFFFFF" w:sz="0"/>
              <w:bottom w:val="none" w:color="FFFFFF" w:sz="0"/>
              <w:right w:val="none" w:color="FFFFFF" w:sz="0"/>
            </w:tcBorders>
            <w:shd w:fill="0079C1"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EFF6FF" w:val="clear"/>
            <w:tcMar>
              <w:top w:type="dxa" w:w="120"/>
              <w:left w:type="dxa" w:w="180"/>
              <w:bottom w:type="dxa" w:w="120"/>
              <w:right w:type="dxa" w:w="160"/>
            </w:tcMar>
          </w:tcPr>
          <w:p>
            <w:pPr>
              <w:spacing w:after="60"/>
            </w:pPr>
            <w:r>
              <w:rPr>
                <w:rFonts w:ascii="Calibri" w:cs="Calibri" w:eastAsia="Calibri" w:hAnsi="Calibri"/>
                <w:b/>
                <w:bCs/>
                <w:color w:val="0079C1"/>
                <w:sz w:val="20"/>
                <w:szCs w:val="20"/>
              </w:rPr>
              <w:t xml:space="preserve">Why this is genuinely new</w:t>
            </w:r>
          </w:p>
          <w:p>
            <w:pPr>
              <w:spacing w:after="80"/>
            </w:pPr>
            <w:r>
              <w:rPr>
                <w:rFonts w:ascii="Calibri" w:cs="Calibri" w:eastAsia="Calibri" w:hAnsi="Calibri"/>
                <w:color w:val="1E3A5F"/>
                <w:sz w:val="20"/>
                <w:szCs w:val="20"/>
              </w:rPr>
              <w:t xml:space="preserve">The ArcGIS ecosystem has shadow visualization tools. It has never had a documented workflow for generating shadow geometry as persistent, queryable GIS features using the Pro SDK and consuming them cross-platform via the JS SDK. This is that workflow.</w:t>
            </w:r>
          </w:p>
        </w:tc>
      </w:tr>
    </w:tbl>
    <w:p>
      <w:pPr>
        <w:spacing w:after="1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0C4DE" w:sz="1"/>
              <w:left w:val="single" w:color="B0C4DE" w:sz="1"/>
              <w:bottom w:val="single" w:color="B0C4DE" w:sz="1"/>
              <w:right w:val="single" w:color="B0C4DE" w:sz="1"/>
            </w:tcBorders>
            <w:shd w:fill="E8F0F8" w:val="clear"/>
            <w:tcMar>
              <w:top w:type="dxa" w:w="120"/>
              <w:left w:type="dxa" w:w="180"/>
              <w:bottom w:type="dxa" w:w="80"/>
              <w:right w:type="dxa" w:w="160"/>
            </w:tcMar>
          </w:tcPr>
          <w:p>
            <w:pPr>
              <w:spacing w:after="60"/>
            </w:pPr>
            <w:r>
              <w:rPr>
                <w:rFonts w:ascii="Calibri" w:cs="Calibri" w:eastAsia="Calibri" w:hAnsi="Calibri"/>
                <w:b/>
                <w:bCs/>
                <w:color w:val="0079C1"/>
                <w:sz w:val="21"/>
                <w:szCs w:val="21"/>
              </w:rPr>
              <w:t xml:space="preserve">📸  Figure 1 — The Gap — ShadowCast Widget (Temporary Visualization)</w:t>
            </w:r>
          </w:p>
          <w:p>
            <w:pPr>
              <w:spacing w:after="60"/>
            </w:pPr>
            <w:r>
              <w:rPr>
                <w:rFonts w:ascii="Calibri" w:cs="Calibri" w:eastAsia="Calibri" w:hAnsi="Calibri"/>
                <w:color w:val="4A4A4A"/>
                <w:sz w:val="19"/>
                <w:szCs w:val="19"/>
              </w:rPr>
              <w:t xml:space="preserve">Show the ArcGIS Maps SDK for JavaScript ShadowCast widget in a 3D NYC scene with shadow overlays active.</w:t>
            </w:r>
          </w:p>
          <w:p>
            <w:pPr>
              <w:spacing w:after="60"/>
            </w:pPr>
            <w:r>
              <w:rPr>
                <w:rFonts w:ascii="Calibri" w:cs="Calibri" w:eastAsia="Calibri" w:hAnsi="Calibri"/>
                <w:color w:val="4A4A4A"/>
                <w:sz w:val="19"/>
                <w:szCs w:val="19"/>
              </w:rPr>
              <w:t xml:space="preserve">How to capture: Open https://developers.arcgis.com/javascript/latest/sample-code/widgets-shadowcast/</w:t>
            </w:r>
          </w:p>
          <w:p>
            <w:pPr>
              <w:spacing w:after="60"/>
            </w:pPr>
            <w:r>
              <w:rPr>
                <w:rFonts w:ascii="Calibri" w:cs="Calibri" w:eastAsia="Calibri" w:hAnsi="Calibri"/>
                <w:color w:val="4A4A4A"/>
                <w:sz w:val="19"/>
                <w:szCs w:val="19"/>
              </w:rPr>
              <w:t xml:space="preserve">Set date/time to June 21, 9 AM. Screenshot the full 3D scene at 1920×1080.</w:t>
            </w:r>
          </w:p>
          <w:p>
            <w:pPr>
              <w:spacing w:after="60"/>
            </w:pPr>
            <w:r>
              <w:rPr>
                <w:rFonts w:ascii="Calibri" w:cs="Calibri" w:eastAsia="Calibri" w:hAnsi="Calibri"/>
                <w:color w:val="4A4A4A"/>
                <w:sz w:val="19"/>
                <w:szCs w:val="19"/>
              </w:rPr>
              <w:t xml:space="preserve">Caption: “The ShadowCast widget renders shadows as a temporary visual overlay — not storable as GIS data.”</w:t>
            </w:r>
          </w:p>
        </w:tc>
      </w:tr>
    </w:tbl>
    <w:p>
      <w:pPr>
        <w:spacing w:after="80"/>
      </w:pPr>
      <w:r>
        <w:t xml:space="preserve"/>
      </w:r>
    </w:p>
    <w:p>
      <w:pPr>
        <w:spacing w:after="200" w:before="0"/>
        <w:jc w:val="left"/>
      </w:pPr>
      <w:r>
        <w:rPr>
          <w:rFonts w:ascii="Calibri" w:cs="Calibri" w:eastAsia="Calibri" w:hAnsi="Calibri"/>
          <w:b w:val="false"/>
          <w:bCs w:val="false"/>
          <w:i/>
          <w:iCs/>
          <w:color w:val="767676"/>
          <w:sz w:val="18"/>
          <w:szCs w:val="18"/>
        </w:rPr>
        <w:t xml:space="preserve">Figure 1 — ArcGIS ShadowCast widget showing cumulative shadow analysis. Output is visual-only — not storable as GIS data.</w:t>
      </w:r>
    </w:p>
    <w:p>
      <w:pPr>
        <w:pStyle w:val="Heading2"/>
      </w:pPr>
      <w:r>
        <w:rPr>
          <w:rFonts w:ascii="Calibri" w:cs="Calibri" w:eastAsia="Calibri" w:hAnsi="Calibri"/>
          <w:b/>
          <w:bCs/>
          <w:color w:val="1D1D1D"/>
          <w:sz w:val="32"/>
          <w:szCs w:val="32"/>
        </w:rPr>
        <w:t xml:space="preserve">Free Data Sources for This Workflow</w:t>
      </w:r>
    </w:p>
    <w:p>
      <w:pPr>
        <w:spacing w:after="200" w:before="0"/>
        <w:jc w:val="left"/>
      </w:pPr>
      <w:r>
        <w:rPr>
          <w:rFonts w:ascii="Calibri" w:cs="Calibri" w:eastAsia="Calibri" w:hAnsi="Calibri"/>
          <w:b w:val="false"/>
          <w:bCs w:val="false"/>
          <w:i w:val="false"/>
          <w:iCs w:val="false"/>
          <w:color w:val="4A4A4A"/>
          <w:sz w:val="22"/>
          <w:szCs w:val="22"/>
        </w:rPr>
        <w:t xml:space="preserve">Before writing a single line of SDK code, you need building footprints with height attributes. Below are four freely available, production-quality datasets you can use directly with this workflow — no licensing fees required.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860"/>
      </w:tblGrid>
      <w:tr>
        <w:trPr>
          <w:tblHeader/>
        </w:trPr>
        <w:tc>
          <w:tcPr>
            <w:tcW w:type="dxa" w:w="1600"/>
            <w:tcBorders>
              <w:top w:val="single" w:color="0079C1" w:sz="1"/>
              <w:left w:val="single" w:color="0079C1" w:sz="1"/>
              <w:bottom w:val="single" w:color="0079C1" w:sz="1"/>
              <w:right w:val="single" w:color="0079C1" w:sz="1"/>
            </w:tcBorders>
            <w:shd w:fill="1A1A2E" w:val="clear"/>
            <w:tcMar>
              <w:top w:type="dxa" w:w="80"/>
              <w:left w:type="dxa" w:w="140"/>
              <w:bottom w:type="dxa" w:w="80"/>
              <w:right w:type="dxa" w:w="100"/>
            </w:tcMar>
          </w:tcPr>
          <w:p>
            <w:r>
              <w:rPr>
                <w:rFonts w:ascii="Calibri" w:cs="Calibri" w:eastAsia="Calibri" w:hAnsi="Calibri"/>
                <w:b/>
                <w:bCs/>
                <w:color w:val="FFFFFF"/>
                <w:sz w:val="19"/>
                <w:szCs w:val="19"/>
              </w:rPr>
              <w:t xml:space="preserve">Source</w:t>
            </w:r>
          </w:p>
        </w:tc>
        <w:tc>
          <w:tcPr>
            <w:tcW w:type="dxa" w:w="2800"/>
            <w:tcBorders>
              <w:top w:val="single" w:color="0079C1" w:sz="1"/>
              <w:left w:val="single" w:color="0079C1" w:sz="1"/>
              <w:bottom w:val="single" w:color="0079C1" w:sz="1"/>
              <w:right w:val="single" w:color="0079C1" w:sz="1"/>
            </w:tcBorders>
            <w:shd w:fill="1A1A2E" w:val="clear"/>
            <w:tcMar>
              <w:top w:type="dxa" w:w="80"/>
              <w:left w:type="dxa" w:w="140"/>
              <w:bottom w:type="dxa" w:w="80"/>
              <w:right w:type="dxa" w:w="100"/>
            </w:tcMar>
          </w:tcPr>
          <w:p>
            <w:r>
              <w:rPr>
                <w:rFonts w:ascii="Calibri" w:cs="Calibri" w:eastAsia="Calibri" w:hAnsi="Calibri"/>
                <w:b/>
                <w:bCs/>
                <w:color w:val="FFFFFF"/>
                <w:sz w:val="19"/>
                <w:szCs w:val="19"/>
              </w:rPr>
              <w:t xml:space="preserve">Dataset</w:t>
            </w:r>
          </w:p>
        </w:tc>
        <w:tc>
          <w:tcPr>
            <w:tcW w:type="dxa" w:w="4860"/>
            <w:tcBorders>
              <w:top w:val="single" w:color="0079C1" w:sz="1"/>
              <w:left w:val="single" w:color="0079C1" w:sz="1"/>
              <w:bottom w:val="single" w:color="0079C1" w:sz="1"/>
              <w:right w:val="single" w:color="0079C1" w:sz="1"/>
            </w:tcBorders>
            <w:shd w:fill="1A1A2E" w:val="clear"/>
            <w:tcMar>
              <w:top w:type="dxa" w:w="80"/>
              <w:left w:type="dxa" w:w="140"/>
              <w:bottom w:type="dxa" w:w="80"/>
              <w:right w:type="dxa" w:w="100"/>
            </w:tcMar>
          </w:tcPr>
          <w:p>
            <w:r>
              <w:rPr>
                <w:rFonts w:ascii="Calibri" w:cs="Calibri" w:eastAsia="Calibri" w:hAnsi="Calibri"/>
                <w:b/>
                <w:bCs/>
                <w:color w:val="FFFFFF"/>
                <w:sz w:val="19"/>
                <w:szCs w:val="19"/>
              </w:rPr>
              <w:t xml:space="preserve">Description &amp; Download</w:t>
            </w:r>
          </w:p>
        </w:tc>
      </w:tr>
      <w:tr>
        <w:tc>
          <w:tcPr>
            <w:tcW w:type="dxa" w:w="1600"/>
            <w:tcBorders>
              <w:top w:val="single" w:color="DDE3EA" w:sz="1"/>
              <w:left w:val="single" w:color="DDE3EA" w:sz="1"/>
              <w:bottom w:val="single" w:color="DDE3EA" w:sz="1"/>
              <w:right w:val="single" w:color="DDE3EA" w:sz="1"/>
            </w:tcBorders>
            <w:shd w:fill="FFFFFF" w:val="clear"/>
            <w:tcMar>
              <w:top w:type="dxa" w:w="100"/>
              <w:left w:type="dxa" w:w="140"/>
              <w:bottom w:type="dxa" w:w="100"/>
              <w:right w:type="dxa" w:w="100"/>
            </w:tcMar>
          </w:tcPr>
          <w:p>
            <w:r>
              <w:rPr>
                <w:rFonts w:ascii="Calibri" w:cs="Calibri" w:eastAsia="Calibri" w:hAnsi="Calibri"/>
                <w:b/>
                <w:bCs/>
                <w:color w:val="0079C1"/>
                <w:sz w:val="18"/>
                <w:szCs w:val="18"/>
              </w:rPr>
              <w:t xml:space="preserve">NYC OpenData</w:t>
            </w:r>
          </w:p>
        </w:tc>
        <w:tc>
          <w:tcPr>
            <w:tcW w:type="dxa" w:w="2800"/>
            <w:tcBorders>
              <w:top w:val="single" w:color="DDE3EA" w:sz="1"/>
              <w:left w:val="single" w:color="DDE3EA" w:sz="1"/>
              <w:bottom w:val="single" w:color="DDE3EA" w:sz="1"/>
              <w:right w:val="single" w:color="DDE3EA" w:sz="1"/>
            </w:tcBorders>
            <w:shd w:fill="FFFFFF" w:val="clear"/>
            <w:tcMar>
              <w:top w:type="dxa" w:w="100"/>
              <w:left w:type="dxa" w:w="140"/>
              <w:bottom w:type="dxa" w:w="100"/>
              <w:right w:type="dxa" w:w="100"/>
            </w:tcMar>
          </w:tcPr>
          <w:p>
            <w:r>
              <w:rPr>
                <w:rFonts w:ascii="Calibri" w:cs="Calibri" w:eastAsia="Calibri" w:hAnsi="Calibri"/>
                <w:b/>
                <w:bCs/>
                <w:color w:val="1D1D1D"/>
                <w:sz w:val="20"/>
                <w:szCs w:val="20"/>
              </w:rPr>
              <w:t xml:space="preserve">NYC Building Footprints</w:t>
            </w:r>
          </w:p>
        </w:tc>
        <w:tc>
          <w:tcPr>
            <w:tcW w:type="dxa" w:w="4860"/>
            <w:tcBorders>
              <w:top w:val="single" w:color="DDE3EA" w:sz="1"/>
              <w:left w:val="single" w:color="DDE3EA" w:sz="1"/>
              <w:bottom w:val="single" w:color="DDE3EA" w:sz="1"/>
              <w:right w:val="single" w:color="DDE3EA" w:sz="1"/>
            </w:tcBorders>
            <w:shd w:fill="FFFFFF" w:val="clear"/>
            <w:tcMar>
              <w:top w:type="dxa" w:w="100"/>
              <w:left w:type="dxa" w:w="140"/>
              <w:bottom w:type="dxa" w:w="100"/>
              <w:right w:type="dxa" w:w="140"/>
            </w:tcMar>
          </w:tcPr>
          <w:p>
            <w:pPr>
              <w:spacing w:after="60"/>
            </w:pPr>
            <w:r>
              <w:rPr>
                <w:rFonts w:ascii="Calibri" w:cs="Calibri" w:eastAsia="Calibri" w:hAnsi="Calibri"/>
                <w:color w:val="4A4A4A"/>
                <w:sz w:val="19"/>
                <w:szCs w:val="19"/>
              </w:rPr>
              <w:t xml:space="preserve">The gold standard for urban shadow analysis. Every NYC building with footprint geometry, roof height, ground elevation, construction year, and BIN. Updated weekly. Directly loadable in ArcGIS Pro.</w:t>
            </w:r>
          </w:p>
          <w:p>
            <w:pPr>
              <w:spacing w:after="60"/>
            </w:pPr>
            <w:hyperlink w:history="1" r:id="rIdy9fcovqngelveymwxobvo">
              <w:r>
                <w:rPr>
                  <w:rStyle w:val="Hyperlink"/>
                  <w:rFonts w:ascii="Calibri" w:cs="Calibri" w:eastAsia="Calibri" w:hAnsi="Calibri"/>
                  <w:b w:val="false"/>
                  <w:bCs w:val="false"/>
                  <w:color w:val="0079C1"/>
                  <w:sz w:val="19"/>
                  <w:szCs w:val="19"/>
                  <w:u w:val="single"/>
                </w:rPr>
                <w:t xml:space="preserve">Download / Explore →</w:t>
              </w:r>
            </w:hyperlink>
          </w:p>
          <w:p>
            <w:pPr>
              <w:spacing w:after="0"/>
            </w:pPr>
            <w:r>
              <w:rPr>
                <w:rFonts w:ascii="Consolas, Courier New" w:cs="Consolas, Courier New" w:eastAsia="Consolas, Courier New" w:hAnsi="Consolas, Courier New"/>
                <w:i/>
                <w:iCs/>
                <w:color w:val="767676"/>
                <w:sz w:val="17"/>
                <w:szCs w:val="17"/>
              </w:rPr>
              <w:t xml:space="preserve">heightroof · groundelev · bin · cnstrct_yr</w:t>
            </w:r>
          </w:p>
        </w:tc>
      </w:tr>
      <w:tr>
        <w:tc>
          <w:tcPr>
            <w:tcW w:type="dxa" w:w="1600"/>
            <w:tcBorders>
              <w:top w:val="single" w:color="DDE3EA" w:sz="1"/>
              <w:left w:val="single" w:color="DDE3EA" w:sz="1"/>
              <w:bottom w:val="single" w:color="DDE3EA" w:sz="1"/>
              <w:right w:val="single" w:color="DDE3EA" w:sz="1"/>
            </w:tcBorders>
            <w:shd w:fill="F8FAFC" w:val="clear"/>
            <w:tcMar>
              <w:top w:type="dxa" w:w="100"/>
              <w:left w:type="dxa" w:w="140"/>
              <w:bottom w:type="dxa" w:w="100"/>
              <w:right w:type="dxa" w:w="100"/>
            </w:tcMar>
          </w:tcPr>
          <w:p>
            <w:r>
              <w:rPr>
                <w:rFonts w:ascii="Calibri" w:cs="Calibri" w:eastAsia="Calibri" w:hAnsi="Calibri"/>
                <w:b/>
                <w:bCs/>
                <w:color w:val="0079C1"/>
                <w:sz w:val="18"/>
                <w:szCs w:val="18"/>
              </w:rPr>
              <w:t xml:space="preserve">Google Open Buildings</w:t>
            </w:r>
          </w:p>
        </w:tc>
        <w:tc>
          <w:tcPr>
            <w:tcW w:type="dxa" w:w="2800"/>
            <w:tcBorders>
              <w:top w:val="single" w:color="DDE3EA" w:sz="1"/>
              <w:left w:val="single" w:color="DDE3EA" w:sz="1"/>
              <w:bottom w:val="single" w:color="DDE3EA" w:sz="1"/>
              <w:right w:val="single" w:color="DDE3EA" w:sz="1"/>
            </w:tcBorders>
            <w:shd w:fill="F8FAFC" w:val="clear"/>
            <w:tcMar>
              <w:top w:type="dxa" w:w="100"/>
              <w:left w:type="dxa" w:w="140"/>
              <w:bottom w:type="dxa" w:w="100"/>
              <w:right w:type="dxa" w:w="100"/>
            </w:tcMar>
          </w:tcPr>
          <w:p>
            <w:r>
              <w:rPr>
                <w:rFonts w:ascii="Calibri" w:cs="Calibri" w:eastAsia="Calibri" w:hAnsi="Calibri"/>
                <w:b/>
                <w:bCs/>
                <w:color w:val="1D1D1D"/>
                <w:sz w:val="20"/>
                <w:szCs w:val="20"/>
              </w:rPr>
              <w:t xml:space="preserve">Open Buildings 2.5D Temporal</w:t>
            </w:r>
          </w:p>
        </w:tc>
        <w:tc>
          <w:tcPr>
            <w:tcW w:type="dxa" w:w="4860"/>
            <w:tcBorders>
              <w:top w:val="single" w:color="DDE3EA" w:sz="1"/>
              <w:left w:val="single" w:color="DDE3EA" w:sz="1"/>
              <w:bottom w:val="single" w:color="DDE3EA" w:sz="1"/>
              <w:right w:val="single" w:color="DDE3EA" w:sz="1"/>
            </w:tcBorders>
            <w:shd w:fill="F8FAFC" w:val="clear"/>
            <w:tcMar>
              <w:top w:type="dxa" w:w="100"/>
              <w:left w:type="dxa" w:w="140"/>
              <w:bottom w:type="dxa" w:w="100"/>
              <w:right w:type="dxa" w:w="140"/>
            </w:tcMar>
          </w:tcPr>
          <w:p>
            <w:pPr>
              <w:spacing w:after="60"/>
            </w:pPr>
            <w:r>
              <w:rPr>
                <w:rFonts w:ascii="Calibri" w:cs="Calibri" w:eastAsia="Calibri" w:hAnsi="Calibri"/>
                <w:color w:val="4A4A4A"/>
                <w:sz w:val="19"/>
                <w:szCs w:val="19"/>
              </w:rPr>
              <w:t xml:space="preserve">AI-derived building heights at 4m resolution from Sentinel-2 imagery, covering most of the globe (2016–2023). Combine with V3 polygon footprints for a complete feature dataset.</w:t>
            </w:r>
          </w:p>
          <w:p>
            <w:pPr>
              <w:spacing w:after="60"/>
            </w:pPr>
            <w:hyperlink w:history="1" r:id="rIdjdsc7_ivienajcio5hvnf">
              <w:r>
                <w:rPr>
                  <w:rStyle w:val="Hyperlink"/>
                  <w:rFonts w:ascii="Calibri" w:cs="Calibri" w:eastAsia="Calibri" w:hAnsi="Calibri"/>
                  <w:b w:val="false"/>
                  <w:bCs w:val="false"/>
                  <w:color w:val="0079C1"/>
                  <w:sz w:val="19"/>
                  <w:szCs w:val="19"/>
                  <w:u w:val="single"/>
                </w:rPr>
                <w:t xml:space="preserve">Download / Explore →</w:t>
              </w:r>
            </w:hyperlink>
          </w:p>
          <w:p>
            <w:pPr>
              <w:spacing w:after="0"/>
            </w:pPr>
            <w:r>
              <w:rPr>
                <w:rFonts w:ascii="Consolas, Courier New" w:cs="Consolas, Courier New" w:eastAsia="Consolas, Courier New" w:hAnsi="Consolas, Courier New"/>
                <w:i/>
                <w:iCs/>
                <w:color w:val="767676"/>
                <w:sz w:val="17"/>
                <w:szCs w:val="17"/>
              </w:rPr>
              <w:t xml:space="preserve">height_m · year · confidence</w:t>
            </w:r>
          </w:p>
        </w:tc>
      </w:tr>
      <w:tr>
        <w:tc>
          <w:tcPr>
            <w:tcW w:type="dxa" w:w="1600"/>
            <w:tcBorders>
              <w:top w:val="single" w:color="DDE3EA" w:sz="1"/>
              <w:left w:val="single" w:color="DDE3EA" w:sz="1"/>
              <w:bottom w:val="single" w:color="DDE3EA" w:sz="1"/>
              <w:right w:val="single" w:color="DDE3EA" w:sz="1"/>
            </w:tcBorders>
            <w:shd w:fill="FFFFFF" w:val="clear"/>
            <w:tcMar>
              <w:top w:type="dxa" w:w="100"/>
              <w:left w:type="dxa" w:w="140"/>
              <w:bottom w:type="dxa" w:w="100"/>
              <w:right w:type="dxa" w:w="100"/>
            </w:tcMar>
          </w:tcPr>
          <w:p>
            <w:r>
              <w:rPr>
                <w:rFonts w:ascii="Calibri" w:cs="Calibri" w:eastAsia="Calibri" w:hAnsi="Calibri"/>
                <w:b/>
                <w:bCs/>
                <w:color w:val="0079C1"/>
                <w:sz w:val="18"/>
                <w:szCs w:val="18"/>
              </w:rPr>
              <w:t xml:space="preserve">OpenStreetMap</w:t>
            </w:r>
          </w:p>
        </w:tc>
        <w:tc>
          <w:tcPr>
            <w:tcW w:type="dxa" w:w="2800"/>
            <w:tcBorders>
              <w:top w:val="single" w:color="DDE3EA" w:sz="1"/>
              <w:left w:val="single" w:color="DDE3EA" w:sz="1"/>
              <w:bottom w:val="single" w:color="DDE3EA" w:sz="1"/>
              <w:right w:val="single" w:color="DDE3EA" w:sz="1"/>
            </w:tcBorders>
            <w:shd w:fill="FFFFFF" w:val="clear"/>
            <w:tcMar>
              <w:top w:type="dxa" w:w="100"/>
              <w:left w:type="dxa" w:w="140"/>
              <w:bottom w:type="dxa" w:w="100"/>
              <w:right w:type="dxa" w:w="100"/>
            </w:tcMar>
          </w:tcPr>
          <w:p>
            <w:r>
              <w:rPr>
                <w:rFonts w:ascii="Calibri" w:cs="Calibri" w:eastAsia="Calibri" w:hAnsi="Calibri"/>
                <w:b/>
                <w:bCs/>
                <w:color w:val="1D1D1D"/>
                <w:sz w:val="20"/>
                <w:szCs w:val="20"/>
              </w:rPr>
              <w:t xml:space="preserve">OSM via GeoFabrik</w:t>
            </w:r>
          </w:p>
        </w:tc>
        <w:tc>
          <w:tcPr>
            <w:tcW w:type="dxa" w:w="4860"/>
            <w:tcBorders>
              <w:top w:val="single" w:color="DDE3EA" w:sz="1"/>
              <w:left w:val="single" w:color="DDE3EA" w:sz="1"/>
              <w:bottom w:val="single" w:color="DDE3EA" w:sz="1"/>
              <w:right w:val="single" w:color="DDE3EA" w:sz="1"/>
            </w:tcBorders>
            <w:shd w:fill="FFFFFF" w:val="clear"/>
            <w:tcMar>
              <w:top w:type="dxa" w:w="100"/>
              <w:left w:type="dxa" w:w="140"/>
              <w:bottom w:type="dxa" w:w="100"/>
              <w:right w:type="dxa" w:w="140"/>
            </w:tcMar>
          </w:tcPr>
          <w:p>
            <w:pPr>
              <w:spacing w:after="60"/>
            </w:pPr>
            <w:r>
              <w:rPr>
                <w:rFonts w:ascii="Calibri" w:cs="Calibri" w:eastAsia="Calibri" w:hAnsi="Calibri"/>
                <w:color w:val="4A4A4A"/>
                <w:sz w:val="19"/>
                <w:szCs w:val="19"/>
              </w:rPr>
              <w:t xml:space="preserve">Global coverage. Many urban areas include building:height or building:levels tags. Best for rapid prototyping. ArcGIS Pro can load GeoJSON directly via the Add Data dialog.</w:t>
            </w:r>
          </w:p>
          <w:p>
            <w:pPr>
              <w:spacing w:after="60"/>
            </w:pPr>
            <w:hyperlink w:history="1" r:id="rIdlhnhcus0jvq7vwuiwa1to">
              <w:r>
                <w:rPr>
                  <w:rStyle w:val="Hyperlink"/>
                  <w:rFonts w:ascii="Calibri" w:cs="Calibri" w:eastAsia="Calibri" w:hAnsi="Calibri"/>
                  <w:b w:val="false"/>
                  <w:bCs w:val="false"/>
                  <w:color w:val="0079C1"/>
                  <w:sz w:val="19"/>
                  <w:szCs w:val="19"/>
                  <w:u w:val="single"/>
                </w:rPr>
                <w:t xml:space="preserve">Download / Explore →</w:t>
              </w:r>
            </w:hyperlink>
          </w:p>
          <w:p>
            <w:pPr>
              <w:spacing w:after="0"/>
            </w:pPr>
            <w:r>
              <w:rPr>
                <w:rFonts w:ascii="Consolas, Courier New" w:cs="Consolas, Courier New" w:eastAsia="Consolas, Courier New" w:hAnsi="Consolas, Courier New"/>
                <w:i/>
                <w:iCs/>
                <w:color w:val="767676"/>
                <w:sz w:val="17"/>
                <w:szCs w:val="17"/>
              </w:rPr>
              <w:t xml:space="preserve">building:height · building:levels</w:t>
            </w:r>
          </w:p>
        </w:tc>
      </w:tr>
      <w:tr>
        <w:tc>
          <w:tcPr>
            <w:tcW w:type="dxa" w:w="1600"/>
            <w:tcBorders>
              <w:top w:val="single" w:color="DDE3EA" w:sz="1"/>
              <w:left w:val="single" w:color="DDE3EA" w:sz="1"/>
              <w:bottom w:val="single" w:color="DDE3EA" w:sz="1"/>
              <w:right w:val="single" w:color="DDE3EA" w:sz="1"/>
            </w:tcBorders>
            <w:shd w:fill="F8FAFC" w:val="clear"/>
            <w:tcMar>
              <w:top w:type="dxa" w:w="100"/>
              <w:left w:type="dxa" w:w="140"/>
              <w:bottom w:type="dxa" w:w="100"/>
              <w:right w:type="dxa" w:w="100"/>
            </w:tcMar>
          </w:tcPr>
          <w:p>
            <w:r>
              <w:rPr>
                <w:rFonts w:ascii="Calibri" w:cs="Calibri" w:eastAsia="Calibri" w:hAnsi="Calibri"/>
                <w:b/>
                <w:bCs/>
                <w:color w:val="0079C1"/>
                <w:sz w:val="18"/>
                <w:szCs w:val="18"/>
              </w:rPr>
              <w:t xml:space="preserve">Microsoft</w:t>
            </w:r>
          </w:p>
        </w:tc>
        <w:tc>
          <w:tcPr>
            <w:tcW w:type="dxa" w:w="2800"/>
            <w:tcBorders>
              <w:top w:val="single" w:color="DDE3EA" w:sz="1"/>
              <w:left w:val="single" w:color="DDE3EA" w:sz="1"/>
              <w:bottom w:val="single" w:color="DDE3EA" w:sz="1"/>
              <w:right w:val="single" w:color="DDE3EA" w:sz="1"/>
            </w:tcBorders>
            <w:shd w:fill="F8FAFC" w:val="clear"/>
            <w:tcMar>
              <w:top w:type="dxa" w:w="100"/>
              <w:left w:type="dxa" w:w="140"/>
              <w:bottom w:type="dxa" w:w="100"/>
              <w:right w:type="dxa" w:w="100"/>
            </w:tcMar>
          </w:tcPr>
          <w:p>
            <w:r>
              <w:rPr>
                <w:rFonts w:ascii="Calibri" w:cs="Calibri" w:eastAsia="Calibri" w:hAnsi="Calibri"/>
                <w:b/>
                <w:bCs/>
                <w:color w:val="1D1D1D"/>
                <w:sz w:val="20"/>
                <w:szCs w:val="20"/>
              </w:rPr>
              <w:t xml:space="preserve">US Building Footprints</w:t>
            </w:r>
          </w:p>
        </w:tc>
        <w:tc>
          <w:tcPr>
            <w:tcW w:type="dxa" w:w="4860"/>
            <w:tcBorders>
              <w:top w:val="single" w:color="DDE3EA" w:sz="1"/>
              <w:left w:val="single" w:color="DDE3EA" w:sz="1"/>
              <w:bottom w:val="single" w:color="DDE3EA" w:sz="1"/>
              <w:right w:val="single" w:color="DDE3EA" w:sz="1"/>
            </w:tcBorders>
            <w:shd w:fill="F8FAFC" w:val="clear"/>
            <w:tcMar>
              <w:top w:type="dxa" w:w="100"/>
              <w:left w:type="dxa" w:w="140"/>
              <w:bottom w:type="dxa" w:w="100"/>
              <w:right w:type="dxa" w:w="140"/>
            </w:tcMar>
          </w:tcPr>
          <w:p>
            <w:pPr>
              <w:spacing w:after="60"/>
            </w:pPr>
            <w:r>
              <w:rPr>
                <w:rFonts w:ascii="Calibri" w:cs="Calibri" w:eastAsia="Calibri" w:hAnsi="Calibri"/>
                <w:color w:val="4A4A4A"/>
                <w:sz w:val="19"/>
                <w:szCs w:val="19"/>
              </w:rPr>
              <w:t xml:space="preserve">125 million building footprints for the continental US from Bing Maps deep learning. Geometry only — no heights. Pair with USGS 3DEP elevation service to derive building heights.</w:t>
            </w:r>
          </w:p>
          <w:p>
            <w:pPr>
              <w:spacing w:after="60"/>
            </w:pPr>
            <w:hyperlink w:history="1" r:id="rIdgws23m3ztkgx5t0xxb8er">
              <w:r>
                <w:rPr>
                  <w:rStyle w:val="Hyperlink"/>
                  <w:rFonts w:ascii="Calibri" w:cs="Calibri" w:eastAsia="Calibri" w:hAnsi="Calibri"/>
                  <w:b w:val="false"/>
                  <w:bCs w:val="false"/>
                  <w:color w:val="0079C1"/>
                  <w:sz w:val="19"/>
                  <w:szCs w:val="19"/>
                  <w:u w:val="single"/>
                </w:rPr>
                <w:t xml:space="preserve">Download / Explore →</w:t>
              </w:r>
            </w:hyperlink>
          </w:p>
          <w:p>
            <w:pPr>
              <w:spacing w:after="0"/>
            </w:pPr>
            <w:r>
              <w:rPr>
                <w:rFonts w:ascii="Consolas, Courier New" w:cs="Consolas, Courier New" w:eastAsia="Consolas, Courier New" w:hAnsi="Consolas, Courier New"/>
                <w:i/>
                <w:iCs/>
                <w:color w:val="767676"/>
                <w:sz w:val="17"/>
                <w:szCs w:val="17"/>
              </w:rPr>
              <w:t xml:space="preserve">geometry (Bing derived) · 125M buildings</w:t>
            </w:r>
          </w:p>
        </w:tc>
      </w:tr>
    </w:tbl>
    <w:p>
      <w:pPr>
        <w:spacing w:after="120"/>
      </w:pPr>
      <w:r>
        <w:t xml:space="preserve"/>
      </w:r>
    </w:p>
    <w:tbl>
      <w:tblPr>
        <w:tblW w:type="dxa" w:w="9260"/>
        <w:tblBorders>
          <w:top w:val="none"/>
          <w:left w:val="none"/>
          <w:bottom w:val="none"/>
          <w:right w:val="none"/>
          <w:insideH w:val="single" w:color="auto" w:sz="4"/>
          <w:insideV w:val="single" w:color="auto" w:sz="4"/>
        </w:tblBorders>
      </w:tblPr>
      <w:tblGrid>
        <w:gridCol w:w="180"/>
        <w:gridCol w:w="9080"/>
      </w:tblGrid>
      <w:tr>
        <w:tc>
          <w:tcPr>
            <w:tcW w:type="dxa" w:w="180"/>
            <w:tcBorders>
              <w:top w:val="none" w:color="FFFFFF" w:sz="0"/>
              <w:left w:val="none" w:color="FFFFFF" w:sz="0"/>
              <w:bottom w:val="none" w:color="FFFFFF" w:sz="0"/>
              <w:right w:val="none" w:color="FFFFFF" w:sz="0"/>
            </w:tcBorders>
            <w:shd w:fill="00B4CC"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ECFEFF" w:val="clear"/>
            <w:tcMar>
              <w:top w:type="dxa" w:w="120"/>
              <w:left w:type="dxa" w:w="180"/>
              <w:bottom w:type="dxa" w:w="120"/>
              <w:right w:type="dxa" w:w="160"/>
            </w:tcMar>
          </w:tcPr>
          <w:p>
            <w:pPr>
              <w:spacing w:after="60"/>
            </w:pPr>
            <w:r>
              <w:rPr>
                <w:rFonts w:ascii="Calibri" w:cs="Calibri" w:eastAsia="Calibri" w:hAnsi="Calibri"/>
                <w:b/>
                <w:bCs/>
                <w:color w:val="00B4CC"/>
                <w:sz w:val="20"/>
                <w:szCs w:val="20"/>
              </w:rPr>
              <w:t xml:space="preserve">Recommended starting point</w:t>
            </w:r>
          </w:p>
          <w:p>
            <w:pPr>
              <w:spacing w:after="80"/>
            </w:pPr>
            <w:r>
              <w:rPr>
                <w:rFonts w:ascii="Calibri" w:cs="Calibri" w:eastAsia="Calibri" w:hAnsi="Calibri"/>
                <w:color w:val="1E3A5F"/>
                <w:sz w:val="20"/>
                <w:szCs w:val="20"/>
              </w:rPr>
              <w:t xml:space="preserve">For your first run, use the NYC Building Footprints filtered to Manhattan Community Board 5 (Midtown). It contains ~7,000 buildings with roof heights — manageable in size, dense enough to produce compelling shadow overlap patterns. Download the Shapefile, load it in ArcGIS Pro, and connect to the add-in.</w:t>
            </w:r>
          </w:p>
        </w:tc>
      </w:tr>
    </w:tbl>
    <w:p>
      <w:pPr>
        <w:spacing w:after="200"/>
      </w:pPr>
      <w:r>
        <w:t xml:space="preserve"/>
      </w:r>
    </w:p>
    <w:p>
      <w:pPr>
        <w:pStyle w:val="Heading2"/>
      </w:pPr>
      <w:r>
        <w:rPr>
          <w:rFonts w:ascii="Calibri" w:cs="Calibri" w:eastAsia="Calibri" w:hAnsi="Calibri"/>
          <w:b/>
          <w:bCs/>
          <w:color w:val="1D1D1D"/>
          <w:sz w:val="32"/>
          <w:szCs w:val="32"/>
        </w:rPr>
        <w:t xml:space="preserve">The Conceptual Shift</w:t>
      </w:r>
    </w:p>
    <w:p>
      <w:pPr>
        <w:spacing w:after="160" w:before="0"/>
        <w:jc w:val="left"/>
      </w:pPr>
      <w:r>
        <w:rPr>
          <w:rFonts w:ascii="Calibri" w:cs="Calibri" w:eastAsia="Calibri" w:hAnsi="Calibri"/>
          <w:b w:val="false"/>
          <w:bCs w:val="false"/>
          <w:i w:val="false"/>
          <w:iCs w:val="false"/>
          <w:color w:val="4A4A4A"/>
          <w:sz w:val="22"/>
          <w:szCs w:val="22"/>
        </w:rPr>
        <w:t xml:space="preserve">The core idea is simple but has surprisingly large implications. Shadow geometry is, at its heart, a spatial operation: you project a polygon (a building footprint) in a direction determined by the sun angle, producing another polygon (the shadow footprint). That shadow polygon is geometry. And geometry is GIS data.</w:t>
      </w:r>
    </w:p>
    <w:p>
      <w:pPr>
        <w:spacing w:after="200" w:before="0"/>
        <w:jc w:val="left"/>
      </w:pPr>
      <w:r>
        <w:rPr>
          <w:rFonts w:ascii="Calibri" w:cs="Calibri" w:eastAsia="Calibri" w:hAnsi="Calibri"/>
          <w:b w:val="false"/>
          <w:bCs w:val="false"/>
          <w:i w:val="false"/>
          <w:iCs w:val="false"/>
          <w:color w:val="4A4A4A"/>
          <w:sz w:val="22"/>
          <w:szCs w:val="22"/>
        </w:rPr>
        <w:t xml:space="preserve">Instead of asking a rendering engine to draw the shadow, we ask the geometry engine to construct it — and then we save it.</w:t>
      </w:r>
    </w:p>
    <w:p>
      <w:pPr>
        <w:pStyle w:val="Heading2"/>
      </w:pPr>
      <w:r>
        <w:rPr>
          <w:rFonts w:ascii="Calibri" w:cs="Calibri" w:eastAsia="Calibri" w:hAnsi="Calibri"/>
          <w:b/>
          <w:bCs/>
          <w:color w:val="1D1D1D"/>
          <w:sz w:val="32"/>
          <w:szCs w:val="32"/>
        </w:rPr>
        <w:t xml:space="preserve">Why This Has Never Been Documented</w:t>
      </w:r>
    </w:p>
    <w:p>
      <w:pPr>
        <w:spacing w:after="160" w:before="0"/>
        <w:jc w:val="left"/>
      </w:pPr>
      <w:r>
        <w:rPr>
          <w:rFonts w:ascii="Calibri" w:cs="Calibri" w:eastAsia="Calibri" w:hAnsi="Calibri"/>
          <w:b w:val="false"/>
          <w:bCs w:val="false"/>
          <w:i w:val="false"/>
          <w:iCs w:val="false"/>
          <w:color w:val="4A4A4A"/>
          <w:sz w:val="22"/>
          <w:szCs w:val="22"/>
        </w:rPr>
        <w:t xml:space="preserve">The Esri community has asked about programmatic shadow geometry before. A thread in the ArcGIS Pro SDK forums specifically asks: "Is there any way to obtain the shadow range?" — and the answer, as of that post, was effectively no. There is no built-in API for extracting shadow geometry from ArcGIS Pro as a feature class.</w:t>
      </w:r>
    </w:p>
    <w:p>
      <w:pPr>
        <w:spacing w:after="200" w:before="0"/>
        <w:jc w:val="left"/>
      </w:pPr>
      <w:r>
        <w:rPr>
          <w:rFonts w:ascii="Calibri" w:cs="Calibri" w:eastAsia="Calibri" w:hAnsi="Calibri"/>
          <w:b w:val="false"/>
          <w:bCs w:val="false"/>
          <w:i w:val="false"/>
          <w:iCs w:val="false"/>
          <w:color w:val="4A4A4A"/>
          <w:sz w:val="22"/>
          <w:szCs w:val="22"/>
        </w:rPr>
        <w:t xml:space="preserve">This workflow fills that gap. Instead of waiting for a native API, we compute shadow geometry ourselves using solar position mathematics and the Pro SDK's geometry engine, then write results directly to a feature class.</w:t>
      </w:r>
    </w:p>
    <w:tbl>
      <w:tblPr>
        <w:tblW w:type="dxa" w:w="9260"/>
        <w:tblBorders>
          <w:top w:val="none"/>
          <w:left w:val="none"/>
          <w:bottom w:val="none"/>
          <w:right w:val="none"/>
          <w:insideH w:val="single" w:color="auto" w:sz="4"/>
          <w:insideV w:val="single" w:color="auto" w:sz="4"/>
        </w:tblBorders>
      </w:tblPr>
      <w:tblGrid>
        <w:gridCol w:w="180"/>
        <w:gridCol w:w="9080"/>
      </w:tblGrid>
      <w:tr>
        <w:tc>
          <w:tcPr>
            <w:tcW w:type="dxa" w:w="180"/>
            <w:tcBorders>
              <w:top w:val="none" w:color="FFFFFF" w:sz="0"/>
              <w:left w:val="none" w:color="FFFFFF" w:sz="0"/>
              <w:bottom w:val="none" w:color="FFFFFF" w:sz="0"/>
              <w:right w:val="none" w:color="FFFFFF" w:sz="0"/>
            </w:tcBorders>
            <w:shd w:fill="F59E0B"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FFFBEB" w:val="clear"/>
            <w:tcMar>
              <w:top w:type="dxa" w:w="120"/>
              <w:left w:type="dxa" w:w="180"/>
              <w:bottom w:type="dxa" w:w="120"/>
              <w:right w:type="dxa" w:w="160"/>
            </w:tcMar>
          </w:tcPr>
          <w:p>
            <w:pPr>
              <w:spacing w:after="60"/>
            </w:pPr>
            <w:r>
              <w:rPr>
                <w:rFonts w:ascii="Calibri" w:cs="Calibri" w:eastAsia="Calibri" w:hAnsi="Calibri"/>
                <w:b/>
                <w:bCs/>
                <w:color w:val="F59E0B"/>
                <w:sz w:val="20"/>
                <w:szCs w:val="20"/>
              </w:rPr>
              <w:t xml:space="preserve">What existing ArcGIS tools do NOT provide</w:t>
            </w:r>
          </w:p>
          <w:p>
            <w:pPr>
              <w:spacing w:after="80"/>
            </w:pPr>
            <w:r>
              <w:rPr>
                <w:rFonts w:ascii="Calibri" w:cs="Calibri" w:eastAsia="Calibri" w:hAnsi="Calibri"/>
                <w:color w:val="1E3A5F"/>
                <w:sz w:val="20"/>
                <w:szCs w:val="20"/>
              </w:rPr>
              <w:t xml:space="preserve">The ShadowCast widget (JS SDK) renders visual overlays. ArcGIS Pro's Daylight tool animates sun position. Neither produces storable, queryable shadow polygons. This project introduces that capability as a developer workflow.</w:t>
            </w:r>
          </w:p>
        </w:tc>
      </w:tr>
    </w:tbl>
    <w:p>
      <w:pPr>
        <w:spacing w:after="200"/>
      </w:pPr>
      <w:r>
        <w:t xml:space="preserve"/>
      </w:r>
    </w:p>
    <w:p>
      <w:pPr>
        <w:pStyle w:val="Heading3"/>
      </w:pPr>
      <w:r>
        <w:rPr>
          <w:rFonts w:ascii="Calibri" w:cs="Calibri" w:eastAsia="Calibri" w:hAnsi="Calibri"/>
          <w:b/>
          <w:bCs/>
          <w:color w:val="1D1D1D"/>
          <w:sz w:val="26"/>
          <w:szCs w:val="26"/>
        </w:rPr>
        <w:t xml:space="preserve">Comparison with Existing ArcGIS Shadow Capabilities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900"/>
        <w:gridCol w:w="2360"/>
      </w:tblGrid>
      <w:tr>
        <w:trPr>
          <w:tblHeader/>
        </w:trPr>
        <w:tc>
          <w:tcPr>
            <w:tcW w:type="dxa" w:w="3000"/>
            <w:tcBorders>
              <w:top w:val="single" w:color="0079C1" w:sz="1"/>
              <w:left w:val="single" w:color="0079C1" w:sz="1"/>
              <w:bottom w:val="single" w:color="0079C1" w:sz="1"/>
              <w:right w:val="single" w:color="0079C1" w:sz="1"/>
            </w:tcBorders>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000"/>
            <w:tcBorders>
              <w:top w:val="single" w:color="0079C1" w:sz="1"/>
              <w:left w:val="single" w:color="0079C1" w:sz="1"/>
              <w:bottom w:val="single" w:color="0079C1" w:sz="1"/>
              <w:right w:val="single" w:color="0079C1" w:sz="1"/>
            </w:tcBorders>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ShadowCast Widget (JS SDK)</w:t>
            </w:r>
          </w:p>
        </w:tc>
        <w:tc>
          <w:tcPr>
            <w:tcW w:type="dxa" w:w="1900"/>
            <w:tcBorders>
              <w:top w:val="single" w:color="0079C1" w:sz="1"/>
              <w:left w:val="single" w:color="0079C1" w:sz="1"/>
              <w:bottom w:val="single" w:color="0079C1" w:sz="1"/>
              <w:right w:val="single" w:color="0079C1" w:sz="1"/>
            </w:tcBorders>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Pro Daylight Tool</w:t>
            </w:r>
          </w:p>
        </w:tc>
        <w:tc>
          <w:tcPr>
            <w:tcW w:type="dxa" w:w="2360"/>
            <w:tcBorders>
              <w:top w:val="single" w:color="0079C1" w:sz="1"/>
              <w:left w:val="single" w:color="0079C1" w:sz="1"/>
              <w:bottom w:val="single" w:color="0079C1" w:sz="1"/>
              <w:right w:val="single" w:color="0079C1" w:sz="1"/>
            </w:tcBorders>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This Project</w:t>
            </w:r>
          </w:p>
        </w:tc>
      </w:tr>
      <w:tr>
        <w:tc>
          <w:tcPr>
            <w:tcW w:type="dxa" w:w="30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Visual shadow overlay</w:t>
            </w:r>
          </w:p>
        </w:tc>
        <w:tc>
          <w:tcPr>
            <w:tcW w:type="dxa" w:w="20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059669"/>
                <w:sz w:val="22"/>
                <w:szCs w:val="22"/>
              </w:rPr>
              <w:t xml:space="preserve">✔</w:t>
            </w:r>
          </w:p>
        </w:tc>
        <w:tc>
          <w:tcPr>
            <w:tcW w:type="dxa" w:w="19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059669"/>
                <w:sz w:val="22"/>
                <w:szCs w:val="22"/>
              </w:rPr>
              <w:t xml:space="preserve">✔</w:t>
            </w:r>
          </w:p>
        </w:tc>
        <w:tc>
          <w:tcPr>
            <w:tcW w:type="dxa" w:w="236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059669"/>
                <w:sz w:val="22"/>
                <w:szCs w:val="22"/>
              </w:rPr>
              <w:t xml:space="preserve">✔</w:t>
            </w:r>
          </w:p>
        </w:tc>
      </w:tr>
      <w:tr>
        <w:tc>
          <w:tcPr>
            <w:tcW w:type="dxa" w:w="30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Persistent storage in GDB</w:t>
            </w:r>
          </w:p>
        </w:tc>
        <w:tc>
          <w:tcPr>
            <w:tcW w:type="dxa" w:w="20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19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236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059669"/>
                <w:sz w:val="22"/>
                <w:szCs w:val="22"/>
              </w:rPr>
              <w:t xml:space="preserve">✔</w:t>
            </w:r>
          </w:p>
        </w:tc>
      </w:tr>
      <w:tr>
        <w:tc>
          <w:tcPr>
            <w:tcW w:type="dxa" w:w="30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Queryable with SQL</w:t>
            </w:r>
          </w:p>
        </w:tc>
        <w:tc>
          <w:tcPr>
            <w:tcW w:type="dxa" w:w="20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19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236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059669"/>
                <w:sz w:val="22"/>
                <w:szCs w:val="22"/>
              </w:rPr>
              <w:t xml:space="preserve">✔</w:t>
            </w:r>
          </w:p>
        </w:tc>
      </w:tr>
      <w:tr>
        <w:tc>
          <w:tcPr>
            <w:tcW w:type="dxa" w:w="30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Time-series shadow dataset</w:t>
            </w:r>
          </w:p>
        </w:tc>
        <w:tc>
          <w:tcPr>
            <w:tcW w:type="dxa" w:w="20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19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236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059669"/>
                <w:sz w:val="22"/>
                <w:szCs w:val="22"/>
              </w:rPr>
              <w:t xml:space="preserve">✔</w:t>
            </w:r>
          </w:p>
        </w:tc>
      </w:tr>
      <w:tr>
        <w:tc>
          <w:tcPr>
            <w:tcW w:type="dxa" w:w="30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Cross-platform enterprise reuse</w:t>
            </w:r>
          </w:p>
        </w:tc>
        <w:tc>
          <w:tcPr>
            <w:tcW w:type="dxa" w:w="20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190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2360"/>
            <w:tcBorders>
              <w:top w:val="single" w:color="DDE3EA" w:sz="1"/>
              <w:left w:val="single" w:color="DDE3EA" w:sz="1"/>
              <w:bottom w:val="single" w:color="DDE3EA" w:sz="1"/>
              <w:right w:val="single" w:color="DDE3EA" w:sz="1"/>
            </w:tcBorders>
            <w:shd w:fill="FFFFFF" w:val="clear"/>
            <w:tcMar>
              <w:top w:type="dxa" w:w="80"/>
              <w:left w:type="dxa" w:w="120"/>
              <w:bottom w:type="dxa" w:w="80"/>
              <w:right w:type="dxa" w:w="120"/>
            </w:tcMar>
          </w:tcPr>
          <w:p>
            <w:r>
              <w:rPr>
                <w:rFonts w:ascii="Calibri" w:cs="Calibri" w:eastAsia="Calibri" w:hAnsi="Calibri"/>
                <w:b/>
                <w:bCs/>
                <w:color w:val="059669"/>
                <w:sz w:val="22"/>
                <w:szCs w:val="22"/>
              </w:rPr>
              <w:t xml:space="preserve">✔</w:t>
            </w:r>
          </w:p>
        </w:tc>
      </w:tr>
      <w:tr>
        <w:tc>
          <w:tcPr>
            <w:tcW w:type="dxa" w:w="30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Spatial join with other layers</w:t>
            </w:r>
          </w:p>
        </w:tc>
        <w:tc>
          <w:tcPr>
            <w:tcW w:type="dxa" w:w="20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190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DC2626"/>
                <w:sz w:val="22"/>
                <w:szCs w:val="22"/>
              </w:rPr>
              <w:t xml:space="preserve">✘</w:t>
            </w:r>
          </w:p>
        </w:tc>
        <w:tc>
          <w:tcPr>
            <w:tcW w:type="dxa" w:w="2360"/>
            <w:tcBorders>
              <w:top w:val="single" w:color="DDE3EA" w:sz="1"/>
              <w:left w:val="single" w:color="DDE3EA" w:sz="1"/>
              <w:bottom w:val="single" w:color="DDE3EA" w:sz="1"/>
              <w:right w:val="single" w:color="DDE3EA" w:sz="1"/>
            </w:tcBorders>
            <w:shd w:fill="F8FAFC" w:val="clear"/>
            <w:tcMar>
              <w:top w:type="dxa" w:w="80"/>
              <w:left w:type="dxa" w:w="120"/>
              <w:bottom w:type="dxa" w:w="80"/>
              <w:right w:type="dxa" w:w="120"/>
            </w:tcMar>
          </w:tcPr>
          <w:p>
            <w:r>
              <w:rPr>
                <w:rFonts w:ascii="Calibri" w:cs="Calibri" w:eastAsia="Calibri" w:hAnsi="Calibri"/>
                <w:b/>
                <w:bCs/>
                <w:color w:val="059669"/>
                <w:sz w:val="22"/>
                <w:szCs w:val="22"/>
              </w:rPr>
              <w:t xml:space="preserve">✔</w:t>
            </w:r>
          </w:p>
        </w:tc>
      </w:tr>
    </w:tbl>
    <w:p>
      <w:pPr>
        <w:spacing w:after="200"/>
      </w:pPr>
      <w:r>
        <w:t xml:space="preserve"/>
      </w:r>
    </w:p>
    <w:p>
      <w:pPr>
        <w:pStyle w:val="Heading2"/>
      </w:pPr>
      <w:r>
        <w:rPr>
          <w:rFonts w:ascii="Calibri" w:cs="Calibri" w:eastAsia="Calibri" w:hAnsi="Calibri"/>
          <w:b/>
          <w:bCs/>
          <w:color w:val="1D1D1D"/>
          <w:sz w:val="32"/>
          <w:szCs w:val="32"/>
        </w:rPr>
        <w:t xml:space="preserve">Implementation Walkthrough</w:t>
      </w:r>
    </w:p>
    <w:p>
      <w:pPr>
        <w:spacing w:after="200" w:before="0"/>
        <w:jc w:val="left"/>
      </w:pPr>
      <w:r>
        <w:rPr>
          <w:rFonts w:ascii="Calibri" w:cs="Calibri" w:eastAsia="Calibri" w:hAnsi="Calibri"/>
          <w:b w:val="false"/>
          <w:bCs w:val="false"/>
          <w:i w:val="false"/>
          <w:iCs w:val="false"/>
          <w:color w:val="4A4A4A"/>
          <w:sz w:val="22"/>
          <w:szCs w:val="22"/>
        </w:rPr>
        <w:t xml:space="preserve">The workflow runs in four phases: solar position calculation, shadow polygon generation, feature class persistence, and web visualization with temporal filtering.</w:t>
      </w:r>
    </w:p>
    <w:p>
      <w:pPr>
        <w:pStyle w:val="Heading3"/>
      </w:pPr>
      <w:r>
        <w:rPr>
          <w:rFonts w:ascii="Calibri" w:cs="Calibri" w:eastAsia="Calibri" w:hAnsi="Calibri"/>
          <w:b/>
          <w:bCs/>
          <w:color w:val="1D1D1D"/>
          <w:sz w:val="26"/>
          <w:szCs w:val="26"/>
        </w:rPr>
        <w:t xml:space="preserve">Step 1 — Computing Sun Position (C# / ArcGIS Pro SDK)</w:t>
      </w:r>
    </w:p>
    <w:p>
      <w:pPr>
        <w:spacing w:after="160" w:before="0"/>
        <w:jc w:val="left"/>
      </w:pPr>
      <w:r>
        <w:rPr>
          <w:rFonts w:ascii="Calibri" w:cs="Calibri" w:eastAsia="Calibri" w:hAnsi="Calibri"/>
          <w:b w:val="false"/>
          <w:bCs w:val="false"/>
          <w:i w:val="false"/>
          <w:iCs w:val="false"/>
          <w:color w:val="4A4A4A"/>
          <w:sz w:val="22"/>
          <w:szCs w:val="22"/>
        </w:rPr>
        <w:t xml:space="preserve">For a given latitude, longitude, date, and time, we compute the sun's azimuth (horizontal angle from north) and altitude (angle above the horizon). These two values define the direction and length of every shadow cast.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2D333B" w:sz="1"/>
              <w:left w:val="single" w:color="2D333B" w:sz="1"/>
              <w:bottom w:val="none"/>
              <w:right w:val="single" w:color="2D333B" w:sz="1"/>
            </w:tcBorders>
            <w:shd w:fill="161B22" w:val="clear"/>
            <w:tcMar>
              <w:top w:type="dxa" w:w="80"/>
              <w:left w:type="dxa" w:w="180"/>
              <w:bottom w:type="dxa" w:w="80"/>
              <w:right w:type="dxa" w:w="160"/>
            </w:tcMar>
          </w:tcPr>
          <w:p>
            <w:r>
              <w:rPr>
                <w:rFonts w:ascii="JetBrains Mono, Consolas, Courier New" w:cs="JetBrains Mono, Consolas, Courier New" w:eastAsia="JetBrains Mono, Consolas, Courier New" w:hAnsi="JetBrains Mono, Consolas, Courier New"/>
                <w:color w:val="8B949E"/>
                <w:sz w:val="18"/>
                <w:szCs w:val="18"/>
              </w:rPr>
              <w:t xml:space="preserve">SunCalculator.cs — ArcGIS Pro SDK</w:t>
            </w:r>
          </w:p>
        </w:tc>
      </w:tr>
      <w:tr>
        <w:tc>
          <w:tcPr>
            <w:tcW w:type="dxa" w:w="9260"/>
            <w:tcBorders>
              <w:top w:val="none"/>
              <w:left w:val="single" w:color="2D333B" w:sz="1"/>
              <w:bottom w:val="single" w:color="2D333B" w:sz="1"/>
              <w:right w:val="single" w:color="2D333B" w:sz="1"/>
            </w:tcBorders>
            <w:shd w:fill="0D1117" w:val="clear"/>
            <w:tcMar>
              <w:top w:type="dxa" w:w="160"/>
              <w:left w:type="dxa" w:w="200"/>
              <w:bottom w:type="dxa" w:w="160"/>
              <w:right w:type="dxa" w:w="160"/>
            </w:tcMar>
          </w:tcPr>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public class SunCalculator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Returns solar azimuth (deg from N) and altitude (deg above horizon)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public static (double azimuth, double altitude) GetSunPosition(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latitude, double longitude, DateTime utcDateTime)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dayOfYear = utcDateTime.DayOfYear;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B = (2 * Math.PI / 365) * (dayOfYear - 1);</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Solar declination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decl = 0.006918 - 0.399912 * Math.Cos(B) + 0.070257 * Math.Sin(B);</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Hour angle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solarNoon = 12.0 - (longitude / 15.0);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hourAngle = (15.0 * (utcDateTime.Hour + utcDateTime.Minute / 60.0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solarNoon)) * (Math.PI / 180);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lat = latitude * (Math.PI / 180);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Solar altitude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sinAlt = Math.Sin(decl) * Math.Sin(lat)</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Math.Cos(decl) * Math.Cos(lat) * Math.Cos(hourAngle);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altitude = Math.Asin(sinAlt) * (180 / Math.PI);</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Solar azimuth</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cosAz = (Math.Sin(decl) - Math.Sin(lat) * sinAlt)</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(Math.Cos(lat) * Math.Cos(Math.Asin(sinAlt)));</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azimuth = Math.Acos(Math.Clamp(cosAz, -1, 1)) * (180 / Math.PI);</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if (hourAngle &gt; 0) azimuth = 360 - azimuth;</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return (azimuth, altitude);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tc>
      </w:tr>
    </w:tbl>
    <w:p>
      <w:pPr>
        <w:spacing w:after="200"/>
      </w:pPr>
      <w:r>
        <w:t xml:space="preserve"/>
      </w:r>
    </w:p>
    <w:p>
      <w:pPr>
        <w:pStyle w:val="Heading3"/>
      </w:pPr>
      <w:r>
        <w:rPr>
          <w:rFonts w:ascii="Calibri" w:cs="Calibri" w:eastAsia="Calibri" w:hAnsi="Calibri"/>
          <w:b/>
          <w:bCs/>
          <w:color w:val="1D1D1D"/>
          <w:sz w:val="26"/>
          <w:szCs w:val="26"/>
        </w:rPr>
        <w:t xml:space="preserve">Step 2 — Generating Shadow Polygons (ArcGIS Pro SDK Geometry Engine)</w:t>
      </w:r>
    </w:p>
    <w:p>
      <w:pPr>
        <w:spacing w:after="160" w:before="0"/>
        <w:jc w:val="left"/>
      </w:pPr>
      <w:r>
        <w:rPr>
          <w:rFonts w:ascii="Calibri" w:cs="Calibri" w:eastAsia="Calibri" w:hAnsi="Calibri"/>
          <w:b w:val="false"/>
          <w:bCs w:val="false"/>
          <w:i w:val="false"/>
          <w:iCs w:val="false"/>
          <w:color w:val="4A4A4A"/>
          <w:sz w:val="22"/>
          <w:szCs w:val="22"/>
        </w:rPr>
        <w:t xml:space="preserve">Each building footprint is projected opposite to the sun direction, scaled by height divided by the tangent of solar altitude. This produces the shadow footprint on the ground plane. Unioning the original footprint with its offset fills the full shadow area.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2D333B" w:sz="1"/>
              <w:left w:val="single" w:color="2D333B" w:sz="1"/>
              <w:bottom w:val="none"/>
              <w:right w:val="single" w:color="2D333B" w:sz="1"/>
            </w:tcBorders>
            <w:shd w:fill="161B22" w:val="clear"/>
            <w:tcMar>
              <w:top w:type="dxa" w:w="80"/>
              <w:left w:type="dxa" w:w="180"/>
              <w:bottom w:type="dxa" w:w="80"/>
              <w:right w:type="dxa" w:w="160"/>
            </w:tcMar>
          </w:tcPr>
          <w:p>
            <w:r>
              <w:rPr>
                <w:rFonts w:ascii="JetBrains Mono, Consolas, Courier New" w:cs="JetBrains Mono, Consolas, Courier New" w:eastAsia="JetBrains Mono, Consolas, Courier New" w:hAnsi="JetBrains Mono, Consolas, Courier New"/>
                <w:color w:val="8B949E"/>
                <w:sz w:val="18"/>
                <w:szCs w:val="18"/>
              </w:rPr>
              <w:t xml:space="preserve">ShadowGeneration.cs — ArcGIS Pro SDK</w:t>
            </w:r>
          </w:p>
        </w:tc>
      </w:tr>
      <w:tr>
        <w:tc>
          <w:tcPr>
            <w:tcW w:type="dxa" w:w="9260"/>
            <w:tcBorders>
              <w:top w:val="none"/>
              <w:left w:val="single" w:color="2D333B" w:sz="1"/>
              <w:bottom w:val="single" w:color="2D333B" w:sz="1"/>
              <w:right w:val="single" w:color="2D333B" w:sz="1"/>
            </w:tcBorders>
            <w:shd w:fill="0D1117" w:val="clear"/>
            <w:tcMar>
              <w:top w:type="dxa" w:w="160"/>
              <w:left w:type="dxa" w:w="200"/>
              <w:bottom w:type="dxa" w:w="160"/>
              <w:right w:type="dxa" w:w="160"/>
            </w:tcMar>
          </w:tcPr>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public static Polygon GenerateShadowPolygon(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Polygon buildingFootprint,</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buildingHeightMeters,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solarAzimuthDeg,</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solarAltitudeDeg)</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Shadow length = height / tan(altitude) — longer when sun is low</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altRad = solarAltitudeDeg * (Math.PI / 180);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shadowLength = buildingHeightMeters / Math.Tan(altRad);</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Direction vector opposite to the sun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azRad = solarAzimuthDeg * (Math.PI / 180);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dx = -Math.Sin(azRad) * shadowLength;</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double dy = -Math.Cos(azRad) * shadowLength;</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GeometryEngine engine = GeometryEngine.Instance;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Polygon offsetPolygon = (Polygon) engine.Move(buildingFootprint, dx, dy);</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Union footprint + offset to fill the complete shadow area</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Geometry shadow = engine.Union(buildingFootprint, offsetPolygon);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return shadow as Polygon;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tc>
      </w:tr>
    </w:tbl>
    <w:p>
      <w:pPr>
        <w:spacing w:after="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0C4DE" w:sz="1"/>
              <w:left w:val="single" w:color="B0C4DE" w:sz="1"/>
              <w:bottom w:val="single" w:color="B0C4DE" w:sz="1"/>
              <w:right w:val="single" w:color="B0C4DE" w:sz="1"/>
            </w:tcBorders>
            <w:shd w:fill="E8F0F8" w:val="clear"/>
            <w:tcMar>
              <w:top w:type="dxa" w:w="120"/>
              <w:left w:type="dxa" w:w="180"/>
              <w:bottom w:type="dxa" w:w="80"/>
              <w:right w:type="dxa" w:w="160"/>
            </w:tcMar>
          </w:tcPr>
          <w:p>
            <w:pPr>
              <w:spacing w:after="60"/>
            </w:pPr>
            <w:r>
              <w:rPr>
                <w:rFonts w:ascii="Calibri" w:cs="Calibri" w:eastAsia="Calibri" w:hAnsi="Calibri"/>
                <w:b/>
                <w:bCs/>
                <w:color w:val="0079C1"/>
                <w:sz w:val="21"/>
                <w:szCs w:val="21"/>
              </w:rPr>
              <w:t xml:space="preserve">📸  Figure 2 — ArcGIS Pro — Building Footprints + Generated Shadow Polygons</w:t>
            </w:r>
          </w:p>
          <w:p>
            <w:pPr>
              <w:spacing w:after="60"/>
            </w:pPr>
            <w:r>
              <w:rPr>
                <w:rFonts w:ascii="Calibri" w:cs="Calibri" w:eastAsia="Calibri" w:hAnsi="Calibri"/>
                <w:color w:val="4A4A4A"/>
                <w:sz w:val="19"/>
                <w:szCs w:val="19"/>
              </w:rPr>
              <w:t xml:space="preserve">Show ArcGIS Pro with building footprints (blue) and shadow polygons (gray, 50% transparent) overlaid.</w:t>
            </w:r>
          </w:p>
          <w:p>
            <w:pPr>
              <w:spacing w:after="60"/>
            </w:pPr>
            <w:r>
              <w:rPr>
                <w:rFonts w:ascii="Calibri" w:cs="Calibri" w:eastAsia="Calibri" w:hAnsi="Calibri"/>
                <w:color w:val="4A4A4A"/>
                <w:sz w:val="19"/>
                <w:szCs w:val="19"/>
              </w:rPr>
              <w:t xml:space="preserve">Open the attribute table showing Timestamp and BuildingID columns.</w:t>
            </w:r>
          </w:p>
          <w:p>
            <w:pPr>
              <w:spacing w:after="60"/>
            </w:pPr>
            <w:r>
              <w:rPr>
                <w:rFonts w:ascii="Calibri" w:cs="Calibri" w:eastAsia="Calibri" w:hAnsi="Calibri"/>
                <w:color w:val="4A4A4A"/>
                <w:sz w:val="19"/>
                <w:szCs w:val="19"/>
              </w:rPr>
              <w:t xml:space="preserve">How to capture: Run the add-in on NYC Building Footprints (Midtown subset).</w:t>
            </w:r>
          </w:p>
          <w:p>
            <w:pPr>
              <w:spacing w:after="60"/>
            </w:pPr>
            <w:r>
              <w:rPr>
                <w:rFonts w:ascii="Calibri" w:cs="Calibri" w:eastAsia="Calibri" w:hAnsi="Calibri"/>
                <w:color w:val="4A4A4A"/>
                <w:sz w:val="19"/>
                <w:szCs w:val="19"/>
              </w:rPr>
              <w:t xml:space="preserve">Style: shadows = #333333 fill, 50% transparency, no outline. Buildings = #CCE5FF fill.</w:t>
            </w:r>
          </w:p>
          <w:p>
            <w:pPr>
              <w:spacing w:after="60"/>
            </w:pPr>
            <w:r>
              <w:rPr>
                <w:rFonts w:ascii="Calibri" w:cs="Calibri" w:eastAsia="Calibri" w:hAnsi="Calibri"/>
                <w:color w:val="4A4A4A"/>
                <w:sz w:val="19"/>
                <w:szCs w:val="19"/>
              </w:rPr>
              <w:t xml:space="preserve">Screenshot the map + attribute table together at 1920×1080.</w:t>
            </w:r>
          </w:p>
          <w:p>
            <w:pPr>
              <w:spacing w:after="60"/>
            </w:pPr>
            <w:r>
              <w:rPr>
                <w:rFonts w:ascii="Calibri" w:cs="Calibri" w:eastAsia="Calibri" w:hAnsi="Calibri"/>
                <w:color w:val="4A4A4A"/>
                <w:sz w:val="19"/>
                <w:szCs w:val="19"/>
              </w:rPr>
              <w:t xml:space="preserve">Caption: “Shadow polygons stored as a feature class with temporal attributes, ready for publishing.”</w:t>
            </w:r>
          </w:p>
        </w:tc>
      </w:tr>
    </w:tbl>
    <w:p>
      <w:pPr>
        <w:spacing w:after="80"/>
      </w:pPr>
      <w:r>
        <w:t xml:space="preserve"/>
      </w:r>
    </w:p>
    <w:p>
      <w:pPr>
        <w:spacing w:after="200" w:before="0"/>
        <w:jc w:val="left"/>
      </w:pPr>
      <w:r>
        <w:rPr>
          <w:rFonts w:ascii="Calibri" w:cs="Calibri" w:eastAsia="Calibri" w:hAnsi="Calibri"/>
          <w:b w:val="false"/>
          <w:bCs w:val="false"/>
          <w:i/>
          <w:iCs/>
          <w:color w:val="767676"/>
          <w:sz w:val="18"/>
          <w:szCs w:val="18"/>
        </w:rPr>
        <w:t xml:space="preserve">Figure 3 — ArcGIS Pro showing building footprints (blue) with computed shadow polygons (gray) stored as a feature class.</w:t>
      </w:r>
    </w:p>
    <w:p>
      <w:pPr>
        <w:pStyle w:val="Heading3"/>
      </w:pPr>
      <w:r>
        <w:rPr>
          <w:rFonts w:ascii="Calibri" w:cs="Calibri" w:eastAsia="Calibri" w:hAnsi="Calibri"/>
          <w:b/>
          <w:bCs/>
          <w:color w:val="1D1D1D"/>
          <w:sz w:val="26"/>
          <w:szCs w:val="26"/>
        </w:rPr>
        <w:t xml:space="preserve">Step 3 — Writing to a Feature Class (ArcGIS Pro SDK)</w:t>
      </w:r>
    </w:p>
    <w:p>
      <w:pPr>
        <w:spacing w:after="160" w:before="0"/>
        <w:jc w:val="left"/>
      </w:pPr>
      <w:r>
        <w:rPr>
          <w:rFonts w:ascii="Calibri" w:cs="Calibri" w:eastAsia="Calibri" w:hAnsi="Calibri"/>
          <w:b w:val="false"/>
          <w:bCs w:val="false"/>
          <w:i w:val="false"/>
          <w:iCs w:val="false"/>
          <w:color w:val="4A4A4A"/>
          <w:sz w:val="22"/>
          <w:szCs w:val="22"/>
        </w:rPr>
        <w:t xml:space="preserve">Shadow polygons for each time step are written to a geodatabase feature class with a Timestamp field. This enables time-based filtering later in the web application.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2D333B" w:sz="1"/>
              <w:left w:val="single" w:color="2D333B" w:sz="1"/>
              <w:bottom w:val="none"/>
              <w:right w:val="single" w:color="2D333B" w:sz="1"/>
            </w:tcBorders>
            <w:shd w:fill="161B22" w:val="clear"/>
            <w:tcMar>
              <w:top w:type="dxa" w:w="80"/>
              <w:left w:type="dxa" w:w="180"/>
              <w:bottom w:type="dxa" w:w="80"/>
              <w:right w:type="dxa" w:w="160"/>
            </w:tcMar>
          </w:tcPr>
          <w:p>
            <w:r>
              <w:rPr>
                <w:rFonts w:ascii="JetBrains Mono, Consolas, Courier New" w:cs="JetBrains Mono, Consolas, Courier New" w:eastAsia="JetBrains Mono, Consolas, Courier New" w:hAnsi="JetBrains Mono, Consolas, Courier New"/>
                <w:color w:val="8B949E"/>
                <w:sz w:val="18"/>
                <w:szCs w:val="18"/>
              </w:rPr>
              <w:t xml:space="preserve">FeatureWriter.cs — ArcGIS Pro SDK</w:t>
            </w:r>
          </w:p>
        </w:tc>
      </w:tr>
      <w:tr>
        <w:tc>
          <w:tcPr>
            <w:tcW w:type="dxa" w:w="9260"/>
            <w:tcBorders>
              <w:top w:val="none"/>
              <w:left w:val="single" w:color="2D333B" w:sz="1"/>
              <w:bottom w:val="single" w:color="2D333B" w:sz="1"/>
              <w:right w:val="single" w:color="2D333B" w:sz="1"/>
            </w:tcBorders>
            <w:shd w:fill="0D1117" w:val="clear"/>
            <w:tcMar>
              <w:top w:type="dxa" w:w="160"/>
              <w:left w:type="dxa" w:w="200"/>
              <w:bottom w:type="dxa" w:w="160"/>
              <w:right w:type="dxa" w:w="160"/>
            </w:tcMar>
          </w:tcPr>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await QueuedTask.Run(() =&gt;</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using RowBuffer rowBuffer = shadowFeatureClass.CreateRowBuffer();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using EditOperation editOperation = new EditOperation();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editOperation.Callback(context =&gt;</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foreach (var (shadowPolygon, timestamp) in shadowResults)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rowBuffer["SHAPE"]      = shadowPolygon;</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rowBuffer["Timestamp"]  = timestamp;     // DateTime of this shadow</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rowBuffer["BuildingID"] = buildingId;    // Source building reference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rowBuffer["ShadowLen"]  = shadowLength;  // Shadow length in meters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shadowFeatureClass.CreateRow(rowBuffer);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context.Invalidate(shadowFeatureClass);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 shadowFeatureClass);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await editOperation.ExecuteAsync();</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await Project.Current.SaveEditsAsync();</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tc>
      </w:tr>
    </w:tbl>
    <w:p>
      <w:pPr>
        <w:spacing w:after="200"/>
      </w:pPr>
      <w:r>
        <w:t xml:space="preserve"/>
      </w:r>
    </w:p>
    <w:p>
      <w:pPr>
        <w:pStyle w:val="Heading3"/>
      </w:pPr>
      <w:r>
        <w:rPr>
          <w:rFonts w:ascii="Calibri" w:cs="Calibri" w:eastAsia="Calibri" w:hAnsi="Calibri"/>
          <w:b/>
          <w:bCs/>
          <w:color w:val="1D1D1D"/>
          <w:sz w:val="26"/>
          <w:szCs w:val="26"/>
        </w:rPr>
        <w:t xml:space="preserve">Step 4 — Loading as a FeatureLayer in the JavaScript SDK</w:t>
      </w:r>
    </w:p>
    <w:p>
      <w:pPr>
        <w:spacing w:after="160" w:before="0"/>
        <w:jc w:val="left"/>
      </w:pPr>
      <w:r>
        <w:rPr>
          <w:rFonts w:ascii="Calibri" w:cs="Calibri" w:eastAsia="Calibri" w:hAnsi="Calibri"/>
          <w:b w:val="false"/>
          <w:bCs w:val="false"/>
          <w:i w:val="false"/>
          <w:iCs w:val="false"/>
          <w:color w:val="4A4A4A"/>
          <w:sz w:val="22"/>
          <w:szCs w:val="22"/>
        </w:rPr>
        <w:t xml:space="preserve">Once the shadow dataset is published as a feature service (or exported as GeoJSON), it loads in the Maps SDK for JavaScript as a standard FeatureLayer. Because each shadow feature carries a Timestamp attribute, the TimeSlider widget can filter them by hour — giving users a fully interactive temporal shadow explorer.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2D333B" w:sz="1"/>
              <w:left w:val="single" w:color="2D333B" w:sz="1"/>
              <w:bottom w:val="none"/>
              <w:right w:val="single" w:color="2D333B" w:sz="1"/>
            </w:tcBorders>
            <w:shd w:fill="161B22" w:val="clear"/>
            <w:tcMar>
              <w:top w:type="dxa" w:w="80"/>
              <w:left w:type="dxa" w:w="180"/>
              <w:bottom w:type="dxa" w:w="80"/>
              <w:right w:type="dxa" w:w="160"/>
            </w:tcMar>
          </w:tcPr>
          <w:p>
            <w:r>
              <w:rPr>
                <w:rFonts w:ascii="JetBrains Mono, Consolas, Courier New" w:cs="JetBrains Mono, Consolas, Courier New" w:eastAsia="JetBrains Mono, Consolas, Courier New" w:hAnsi="JetBrains Mono, Consolas, Courier New"/>
                <w:color w:val="8B949E"/>
                <w:sz w:val="18"/>
                <w:szCs w:val="18"/>
              </w:rPr>
              <w:t xml:space="preserve">main.js — ArcGIS Maps SDK for JavaScript</w:t>
            </w:r>
          </w:p>
        </w:tc>
      </w:tr>
      <w:tr>
        <w:tc>
          <w:tcPr>
            <w:tcW w:type="dxa" w:w="9260"/>
            <w:tcBorders>
              <w:top w:val="none"/>
              <w:left w:val="single" w:color="2D333B" w:sz="1"/>
              <w:bottom w:val="single" w:color="2D333B" w:sz="1"/>
              <w:right w:val="single" w:color="2D333B" w:sz="1"/>
            </w:tcBorders>
            <w:shd w:fill="0D1117" w:val="clear"/>
            <w:tcMar>
              <w:top w:type="dxa" w:w="160"/>
              <w:left w:type="dxa" w:w="200"/>
              <w:bottom w:type="dxa" w:w="160"/>
              <w:right w:type="dxa" w:w="160"/>
            </w:tcMar>
          </w:tcPr>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import SceneView    from "@arcgis/core/views/SceneView";</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import WebScene     from "@arcgis/core/WebScene";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import FeatureLayer from "@arcgis/core/layers/FeatureLayer";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import TimeSlider   from "@arcgis/core/widgets/TimeSlider";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1. Load shadow data as a standard FeatureLayer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const shadowLayer = new FeatureLayer({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url: "https://services.arcgis.com/{org}/FeatureServer/0",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timeInfo: { startField: "Timestamp"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renderer: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type: "simple",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symbol: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type: "polygon-3d",</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symbolLayers: [{ type: "flat-color", color: [30, 30, 30, 0.55]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2. Add to a 3D scene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const view = new SceneView({</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container: "viewDiv",</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map: new WebScene({ portalItem: { id: "YOUR_CITY_SCENE_ID" }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view.map.add(shadowLayer);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3. TimeSlider — navigate hourly shadow snapshots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const timeSlider = new TimeSlider({</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container: "timeSliderDiv",</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view, timeVisible: true, loop: true, playRate: 1000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4. SQL query on shadow features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view.whenLayerView(shadowLayer).then(async lv =&gt;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const result = await lv.queryFeatures({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where: "Timestamp &gt;= '2024-06-21 08:00' AND Timestamp &lt; '2024-06-21 09:00'",</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returnGeometry: true</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  console.log(`Shadows at 8 AM: ${result.features.length} features`);</w:t>
            </w:r>
          </w:p>
          <w:p>
            <w:pPr>
              <w:spacing w:after="0"/>
            </w:pPr>
            <w:r>
              <w:rPr>
                <w:rFonts w:ascii="JetBrains Mono, Consolas, Courier New" w:cs="JetBrains Mono, Consolas, Courier New" w:eastAsia="JetBrains Mono, Consolas, Courier New" w:hAnsi="JetBrains Mono, Consolas, Courier New"/>
                <w:color w:val="C9D1D9"/>
                <w:sz w:val="19"/>
                <w:szCs w:val="19"/>
              </w:rPr>
              <w:t xml:space="preserve">});</w:t>
            </w:r>
          </w:p>
        </w:tc>
      </w:tr>
    </w:tbl>
    <w:p>
      <w:pPr>
        <w:spacing w:after="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0C4DE" w:sz="1"/>
              <w:left w:val="single" w:color="B0C4DE" w:sz="1"/>
              <w:bottom w:val="single" w:color="B0C4DE" w:sz="1"/>
              <w:right w:val="single" w:color="B0C4DE" w:sz="1"/>
            </w:tcBorders>
            <w:shd w:fill="E8F0F8" w:val="clear"/>
            <w:tcMar>
              <w:top w:type="dxa" w:w="120"/>
              <w:left w:type="dxa" w:w="180"/>
              <w:bottom w:type="dxa" w:w="80"/>
              <w:right w:type="dxa" w:w="160"/>
            </w:tcMar>
          </w:tcPr>
          <w:p>
            <w:pPr>
              <w:spacing w:after="60"/>
            </w:pPr>
            <w:r>
              <w:rPr>
                <w:rFonts w:ascii="Calibri" w:cs="Calibri" w:eastAsia="Calibri" w:hAnsi="Calibri"/>
                <w:b/>
                <w:bCs/>
                <w:color w:val="0079C1"/>
                <w:sz w:val="21"/>
                <w:szCs w:val="21"/>
              </w:rPr>
              <w:t xml:space="preserve">📸  Figure 3 — Web App — 3D Scene with Shadow FeatureLayer + TimeSlider</w:t>
            </w:r>
          </w:p>
          <w:p>
            <w:pPr>
              <w:spacing w:after="60"/>
            </w:pPr>
            <w:r>
              <w:rPr>
                <w:rFonts w:ascii="Calibri" w:cs="Calibri" w:eastAsia="Calibri" w:hAnsi="Calibri"/>
                <w:color w:val="4A4A4A"/>
                <w:sz w:val="19"/>
                <w:szCs w:val="19"/>
              </w:rPr>
              <w:t xml:space="preserve">Show the web app in Chrome: 3D city scene, shadow polygons (dark, semi-transparent), TimeSlider at bottom, popup open.</w:t>
            </w:r>
          </w:p>
          <w:p>
            <w:pPr>
              <w:spacing w:after="60"/>
            </w:pPr>
            <w:r>
              <w:rPr>
                <w:rFonts w:ascii="Calibri" w:cs="Calibri" w:eastAsia="Calibri" w:hAnsi="Calibri"/>
                <w:color w:val="4A4A4A"/>
                <w:sz w:val="19"/>
                <w:szCs w:val="19"/>
              </w:rPr>
              <w:t xml:space="preserve">How to capture: Serve WebApp/index.html locally with: npx serve .</w:t>
            </w:r>
          </w:p>
          <w:p>
            <w:pPr>
              <w:spacing w:after="60"/>
            </w:pPr>
            <w:r>
              <w:rPr>
                <w:rFonts w:ascii="Calibri" w:cs="Calibri" w:eastAsia="Calibri" w:hAnsi="Calibri"/>
                <w:color w:val="4A4A4A"/>
                <w:sz w:val="19"/>
                <w:szCs w:val="19"/>
              </w:rPr>
              <w:t xml:space="preserve">Press Play on the TimeSlider, pause at 9 AM, click a shadow polygon to show its popup.</w:t>
            </w:r>
          </w:p>
          <w:p>
            <w:pPr>
              <w:spacing w:after="60"/>
            </w:pPr>
            <w:r>
              <w:rPr>
                <w:rFonts w:ascii="Calibri" w:cs="Calibri" w:eastAsia="Calibri" w:hAnsi="Calibri"/>
                <w:color w:val="4A4A4A"/>
                <w:sz w:val="19"/>
                <w:szCs w:val="19"/>
              </w:rPr>
              <w:t xml:space="preserve">Screenshot at 1920×1080 showing buildings, shadows, TimeSlider, and popup.</w:t>
            </w:r>
          </w:p>
          <w:p>
            <w:pPr>
              <w:spacing w:after="60"/>
            </w:pPr>
            <w:r>
              <w:rPr>
                <w:rFonts w:ascii="Calibri" w:cs="Calibri" w:eastAsia="Calibri" w:hAnsi="Calibri"/>
                <w:color w:val="4A4A4A"/>
                <w:sz w:val="19"/>
                <w:szCs w:val="19"/>
              </w:rPr>
              <w:t xml:space="preserve">Caption: “The shadow FeatureLayer in a 3D SceneView. Each polygon is a real, queryable GIS feature.”</w:t>
            </w:r>
          </w:p>
        </w:tc>
      </w:tr>
    </w:tbl>
    <w:p>
      <w:pPr>
        <w:spacing w:after="80"/>
      </w:pPr>
      <w:r>
        <w:t xml:space="preserve"/>
      </w:r>
    </w:p>
    <w:p>
      <w:pPr>
        <w:spacing w:after="200" w:before="0"/>
        <w:jc w:val="left"/>
      </w:pPr>
      <w:r>
        <w:rPr>
          <w:rFonts w:ascii="Calibri" w:cs="Calibri" w:eastAsia="Calibri" w:hAnsi="Calibri"/>
          <w:b w:val="false"/>
          <w:bCs w:val="false"/>
          <w:i/>
          <w:iCs/>
          <w:color w:val="767676"/>
          <w:sz w:val="18"/>
          <w:szCs w:val="18"/>
        </w:rPr>
        <w:t xml:space="preserve">Figure 4 — Time-animated shadow features in a 3D SceneView. Each polygon is queryable and carries temporal attributes.</w:t>
      </w:r>
    </w:p>
    <w:p>
      <w:pPr>
        <w:pStyle w:val="Heading2"/>
      </w:pPr>
      <w:r>
        <w:rPr>
          <w:rFonts w:ascii="Calibri" w:cs="Calibri" w:eastAsia="Calibri" w:hAnsi="Calibri"/>
          <w:b/>
          <w:bCs/>
          <w:color w:val="1D1D1D"/>
          <w:sz w:val="32"/>
          <w:szCs w:val="32"/>
        </w:rPr>
        <w:t xml:space="preserve">Why This Matters for Urban GIS</w:t>
      </w:r>
    </w:p>
    <w:p>
      <w:pPr>
        <w:spacing w:after="200" w:before="0"/>
        <w:jc w:val="left"/>
      </w:pPr>
      <w:r>
        <w:rPr>
          <w:rFonts w:ascii="Calibri" w:cs="Calibri" w:eastAsia="Calibri" w:hAnsi="Calibri"/>
          <w:b w:val="false"/>
          <w:bCs w:val="false"/>
          <w:i w:val="false"/>
          <w:iCs w:val="false"/>
          <w:color w:val="4A4A4A"/>
          <w:sz w:val="22"/>
          <w:szCs w:val="22"/>
        </w:rPr>
        <w:t xml:space="preserve">Converting shadows from a visualization effect into GIS data unlocks planning and analytical capabilities that have never existed in the standard ArcGIS toolset.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tcW w:type="dxa" w:w="600"/>
            <w:tcBorders>
              <w:top w:val="none" w:color="FFFFFF" w:sz="0"/>
              <w:left w:val="none" w:color="FFFFFF" w:sz="0"/>
              <w:bottom w:val="none" w:color="FFFFFF" w:sz="0"/>
              <w:right w:val="none" w:color="FFFFFF" w:sz="0"/>
            </w:tcBorders>
            <w:shd w:fill="0079C1" w:val="clear"/>
            <w:tcMar>
              <w:top w:type="dxa" w:w="60"/>
              <w:left w:type="dxa" w:w="0"/>
              <w:bottom w:type="dxa" w:w="60"/>
              <w:right w:type="dxa" w:w="120"/>
            </w:tcMar>
            <w:vAlign w:val="center"/>
          </w:tcPr>
          <w:p>
            <w:pPr>
              <w:jc w:val="center"/>
            </w:pPr>
            <w:r>
              <w:rPr>
                <w:rFonts w:ascii="Calibri" w:cs="Calibri" w:eastAsia="Calibri" w:hAnsi="Calibri"/>
                <w:b/>
                <w:bCs/>
                <w:color w:val="FFFFFF"/>
                <w:sz w:val="24"/>
                <w:szCs w:val="24"/>
              </w:rPr>
              <w:t xml:space="preserve">1</w:t>
            </w:r>
          </w:p>
        </w:tc>
        <w:tc>
          <w:tcPr>
            <w:tcW w:type="dxa" w:w="8660"/>
            <w:tcBorders>
              <w:top w:val="none"/>
              <w:left w:val="none"/>
              <w:bottom w:val="single" w:color="DDE3EA" w:sz="1"/>
              <w:right w:val="none"/>
            </w:tcBorders>
            <w:tcMar>
              <w:top w:type="dxa" w:w="60"/>
              <w:left w:type="dxa" w:w="160"/>
              <w:bottom w:type="dxa" w:w="120"/>
              <w:right w:type="dxa" w:w="0"/>
            </w:tcMar>
          </w:tcPr>
          <w:p>
            <w:pPr>
              <w:spacing w:after="40"/>
            </w:pPr>
            <w:r>
              <w:rPr>
                <w:rFonts w:ascii="Calibri" w:cs="Calibri" w:eastAsia="Calibri" w:hAnsi="Calibri"/>
                <w:b/>
                <w:bCs/>
                <w:color w:val="1D1D1D"/>
                <w:sz w:val="21"/>
                <w:szCs w:val="21"/>
              </w:rPr>
              <w:t xml:space="preserve">Regulatory shadow compliance</w:t>
            </w:r>
          </w:p>
          <w:p>
            <w:pPr>
              <w:spacing w:after="60"/>
            </w:pPr>
            <w:r>
              <w:rPr>
                <w:rFonts w:ascii="Calibri" w:cs="Calibri" w:eastAsia="Calibri" w:hAnsi="Calibri"/>
                <w:color w:val="4A4A4A"/>
                <w:sz w:val="20"/>
                <w:szCs w:val="20"/>
              </w:rPr>
              <w:t xml:space="preserve">Cities like New York, London, and Amsterdam have shadow zoning laws. With shadow data as features, analysts can run spatial intersections to determine exactly how many hours per day a building casts shadow onto protected spaces — parks, schoolyards, solar panels — and export that as a compliance report.</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tcW w:type="dxa" w:w="600"/>
            <w:tcBorders>
              <w:top w:val="none" w:color="FFFFFF" w:sz="0"/>
              <w:left w:val="none" w:color="FFFFFF" w:sz="0"/>
              <w:bottom w:val="none" w:color="FFFFFF" w:sz="0"/>
              <w:right w:val="none" w:color="FFFFFF" w:sz="0"/>
            </w:tcBorders>
            <w:shd w:fill="0079C1" w:val="clear"/>
            <w:tcMar>
              <w:top w:type="dxa" w:w="60"/>
              <w:left w:type="dxa" w:w="0"/>
              <w:bottom w:type="dxa" w:w="60"/>
              <w:right w:type="dxa" w:w="120"/>
            </w:tcMar>
            <w:vAlign w:val="center"/>
          </w:tcPr>
          <w:p>
            <w:pPr>
              <w:jc w:val="center"/>
            </w:pPr>
            <w:r>
              <w:rPr>
                <w:rFonts w:ascii="Calibri" w:cs="Calibri" w:eastAsia="Calibri" w:hAnsi="Calibri"/>
                <w:b/>
                <w:bCs/>
                <w:color w:val="FFFFFF"/>
                <w:sz w:val="24"/>
                <w:szCs w:val="24"/>
              </w:rPr>
              <w:t xml:space="preserve">2</w:t>
            </w:r>
          </w:p>
        </w:tc>
        <w:tc>
          <w:tcPr>
            <w:tcW w:type="dxa" w:w="8660"/>
            <w:tcBorders>
              <w:top w:val="none"/>
              <w:left w:val="none"/>
              <w:bottom w:val="single" w:color="DDE3EA" w:sz="1"/>
              <w:right w:val="none"/>
            </w:tcBorders>
            <w:tcMar>
              <w:top w:type="dxa" w:w="60"/>
              <w:left w:type="dxa" w:w="160"/>
              <w:bottom w:type="dxa" w:w="120"/>
              <w:right w:type="dxa" w:w="0"/>
            </w:tcMar>
          </w:tcPr>
          <w:p>
            <w:pPr>
              <w:spacing w:after="40"/>
            </w:pPr>
            <w:r>
              <w:rPr>
                <w:rFonts w:ascii="Calibri" w:cs="Calibri" w:eastAsia="Calibri" w:hAnsi="Calibri"/>
                <w:b/>
                <w:bCs/>
                <w:color w:val="1D1D1D"/>
                <w:sz w:val="21"/>
                <w:szCs w:val="21"/>
              </w:rPr>
              <w:t xml:space="preserve">Time-series shadow accumulation</w:t>
            </w:r>
          </w:p>
          <w:p>
            <w:pPr>
              <w:spacing w:after="60"/>
            </w:pPr>
            <w:r>
              <w:rPr>
                <w:rFonts w:ascii="Calibri" w:cs="Calibri" w:eastAsia="Calibri" w:hAnsi="Calibri"/>
                <w:color w:val="4A4A4A"/>
                <w:sz w:val="20"/>
                <w:szCs w:val="20"/>
              </w:rPr>
              <w:t xml:space="preserve">Because each hourly shadow is a stored feature, you can union shadows across a full day to compute cumulative shadow coverage as a query result, not just a visual widget. This is directly useful for solar energy site assessment and urban heat island modeling.</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tcW w:type="dxa" w:w="600"/>
            <w:tcBorders>
              <w:top w:val="none" w:color="FFFFFF" w:sz="0"/>
              <w:left w:val="none" w:color="FFFFFF" w:sz="0"/>
              <w:bottom w:val="none" w:color="FFFFFF" w:sz="0"/>
              <w:right w:val="none" w:color="FFFFFF" w:sz="0"/>
            </w:tcBorders>
            <w:shd w:fill="0079C1" w:val="clear"/>
            <w:tcMar>
              <w:top w:type="dxa" w:w="60"/>
              <w:left w:type="dxa" w:w="0"/>
              <w:bottom w:type="dxa" w:w="60"/>
              <w:right w:type="dxa" w:w="120"/>
            </w:tcMar>
            <w:vAlign w:val="center"/>
          </w:tcPr>
          <w:p>
            <w:pPr>
              <w:jc w:val="center"/>
            </w:pPr>
            <w:r>
              <w:rPr>
                <w:rFonts w:ascii="Calibri" w:cs="Calibri" w:eastAsia="Calibri" w:hAnsi="Calibri"/>
                <w:b/>
                <w:bCs/>
                <w:color w:val="FFFFFF"/>
                <w:sz w:val="24"/>
                <w:szCs w:val="24"/>
              </w:rPr>
              <w:t xml:space="preserve">3</w:t>
            </w:r>
          </w:p>
        </w:tc>
        <w:tc>
          <w:tcPr>
            <w:tcW w:type="dxa" w:w="8660"/>
            <w:tcBorders>
              <w:top w:val="none"/>
              <w:left w:val="none"/>
              <w:bottom w:val="single" w:color="DDE3EA" w:sz="1"/>
              <w:right w:val="none"/>
            </w:tcBorders>
            <w:tcMar>
              <w:top w:type="dxa" w:w="60"/>
              <w:left w:type="dxa" w:w="160"/>
              <w:bottom w:type="dxa" w:w="120"/>
              <w:right w:type="dxa" w:w="0"/>
            </w:tcMar>
          </w:tcPr>
          <w:p>
            <w:pPr>
              <w:spacing w:after="40"/>
            </w:pPr>
            <w:r>
              <w:rPr>
                <w:rFonts w:ascii="Calibri" w:cs="Calibri" w:eastAsia="Calibri" w:hAnsi="Calibri"/>
                <w:b/>
                <w:bCs/>
                <w:color w:val="1D1D1D"/>
                <w:sz w:val="21"/>
                <w:szCs w:val="21"/>
              </w:rPr>
              <w:t xml:space="preserve">Cross-platform enterprise reuse</w:t>
            </w:r>
          </w:p>
          <w:p>
            <w:pPr>
              <w:spacing w:after="60"/>
            </w:pPr>
            <w:r>
              <w:rPr>
                <w:rFonts w:ascii="Calibri" w:cs="Calibri" w:eastAsia="Calibri" w:hAnsi="Calibri"/>
                <w:color w:val="4A4A4A"/>
                <w:sz w:val="20"/>
                <w:szCs w:val="20"/>
              </w:rPr>
              <w:t xml:space="preserve">Shadow data in a geodatabase or feature service can be consumed by ArcGIS Pro analysis tools, ArcGIS Dashboards, StoryMaps, and any application that reads GeoJSON or a feature service REST endpoint. The visualization is just one consumer of the underlying data.</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tcW w:type="dxa" w:w="600"/>
            <w:tcBorders>
              <w:top w:val="none" w:color="FFFFFF" w:sz="0"/>
              <w:left w:val="none" w:color="FFFFFF" w:sz="0"/>
              <w:bottom w:val="none" w:color="FFFFFF" w:sz="0"/>
              <w:right w:val="none" w:color="FFFFFF" w:sz="0"/>
            </w:tcBorders>
            <w:shd w:fill="0079C1" w:val="clear"/>
            <w:tcMar>
              <w:top w:type="dxa" w:w="60"/>
              <w:left w:type="dxa" w:w="0"/>
              <w:bottom w:type="dxa" w:w="60"/>
              <w:right w:type="dxa" w:w="120"/>
            </w:tcMar>
            <w:vAlign w:val="center"/>
          </w:tcPr>
          <w:p>
            <w:pPr>
              <w:jc w:val="center"/>
            </w:pPr>
            <w:r>
              <w:rPr>
                <w:rFonts w:ascii="Calibri" w:cs="Calibri" w:eastAsia="Calibri" w:hAnsi="Calibri"/>
                <w:b/>
                <w:bCs/>
                <w:color w:val="FFFFFF"/>
                <w:sz w:val="24"/>
                <w:szCs w:val="24"/>
              </w:rPr>
              <w:t xml:space="preserve">4</w:t>
            </w:r>
          </w:p>
        </w:tc>
        <w:tc>
          <w:tcPr>
            <w:tcW w:type="dxa" w:w="8660"/>
            <w:tcBorders>
              <w:top w:val="none"/>
              <w:left w:val="none"/>
              <w:bottom w:val="single" w:color="DDE3EA" w:sz="1"/>
              <w:right w:val="none"/>
            </w:tcBorders>
            <w:tcMar>
              <w:top w:type="dxa" w:w="60"/>
              <w:left w:type="dxa" w:w="160"/>
              <w:bottom w:type="dxa" w:w="120"/>
              <w:right w:type="dxa" w:w="0"/>
            </w:tcMar>
          </w:tcPr>
          <w:p>
            <w:pPr>
              <w:spacing w:after="40"/>
            </w:pPr>
            <w:r>
              <w:rPr>
                <w:rFonts w:ascii="Calibri" w:cs="Calibri" w:eastAsia="Calibri" w:hAnsi="Calibri"/>
                <w:b/>
                <w:bCs/>
                <w:color w:val="1D1D1D"/>
                <w:sz w:val="21"/>
                <w:szCs w:val="21"/>
              </w:rPr>
              <w:t xml:space="preserve">Digital twin integration</w:t>
            </w:r>
          </w:p>
          <w:p>
            <w:pPr>
              <w:spacing w:after="60"/>
            </w:pPr>
            <w:r>
              <w:rPr>
                <w:rFonts w:ascii="Calibri" w:cs="Calibri" w:eastAsia="Calibri" w:hAnsi="Calibri"/>
                <w:color w:val="4A4A4A"/>
                <w:sz w:val="20"/>
                <w:szCs w:val="20"/>
              </w:rPr>
              <w:t xml:space="preserve">Shadow datasets can feed into digital twin environments — ArcGIS Urban or CityEngine — as data inputs for energy modeling, microclimate simulation, and pedestrian comfort scoring, not just 3D visuals.</w:t>
            </w:r>
          </w:p>
        </w:tc>
      </w:tr>
    </w:tbl>
    <w:p>
      <w:pPr>
        <w:spacing w:after="200"/>
      </w:pPr>
      <w:r>
        <w:t xml:space="preserve"/>
      </w:r>
    </w:p>
    <w:p>
      <w:pPr>
        <w:pStyle w:val="Heading2"/>
      </w:pPr>
      <w:r>
        <w:rPr>
          <w:rFonts w:ascii="Calibri" w:cs="Calibri" w:eastAsia="Calibri" w:hAnsi="Calibri"/>
          <w:b/>
          <w:bCs/>
          <w:color w:val="1D1D1D"/>
          <w:sz w:val="32"/>
          <w:szCs w:val="32"/>
        </w:rPr>
        <w:t xml:space="preserve">Limitations and Considerations</w:t>
      </w:r>
    </w:p>
    <w:tbl>
      <w:tblPr>
        <w:tblW w:type="dxa" w:w="9260"/>
        <w:tblBorders>
          <w:top w:val="none"/>
          <w:left w:val="none"/>
          <w:bottom w:val="none"/>
          <w:right w:val="none"/>
          <w:insideH w:val="single" w:color="auto" w:sz="4"/>
          <w:insideV w:val="single" w:color="auto" w:sz="4"/>
        </w:tblBorders>
      </w:tblPr>
      <w:tblGrid>
        <w:gridCol w:w="180"/>
        <w:gridCol w:w="9080"/>
      </w:tblGrid>
      <w:tr>
        <w:tc>
          <w:tcPr>
            <w:tcW w:type="dxa" w:w="180"/>
            <w:tcBorders>
              <w:top w:val="none" w:color="FFFFFF" w:sz="0"/>
              <w:left w:val="none" w:color="FFFFFF" w:sz="0"/>
              <w:bottom w:val="none" w:color="FFFFFF" w:sz="0"/>
              <w:right w:val="none" w:color="FFFFFF" w:sz="0"/>
            </w:tcBorders>
            <w:shd w:fill="F59E0B"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FFFBEB" w:val="clear"/>
            <w:tcMar>
              <w:top w:type="dxa" w:w="120"/>
              <w:left w:type="dxa" w:w="180"/>
              <w:bottom w:type="dxa" w:w="120"/>
              <w:right w:type="dxa" w:w="160"/>
            </w:tcMar>
          </w:tcPr>
          <w:p>
            <w:pPr>
              <w:spacing w:after="60"/>
            </w:pPr>
            <w:r>
              <w:rPr>
                <w:rFonts w:ascii="Calibri" w:cs="Calibri" w:eastAsia="Calibri" w:hAnsi="Calibri"/>
                <w:b/>
                <w:bCs/>
                <w:color w:val="F59E0B"/>
                <w:sz w:val="20"/>
                <w:szCs w:val="20"/>
              </w:rPr>
              <w:t xml:space="preserve">Important caveats for production use</w:t>
            </w:r>
          </w:p>
          <w:p>
            <w:pPr>
              <w:spacing w:after="80"/>
            </w:pPr>
            <w:r>
              <w:rPr>
                <w:rFonts w:ascii="Calibri" w:cs="Calibri" w:eastAsia="Calibri" w:hAnsi="Calibri"/>
                <w:color w:val="1E3A5F"/>
                <w:sz w:val="20"/>
                <w:szCs w:val="20"/>
              </w:rPr>
              <w:t xml:space="preserve">This workflow produces ground-plane shadow projections from building footprints. It does not account for terrain elevation, existing shadow overlap between buildings, or atmospheric refraction. For regulatory-grade analysis, validate results against ArcGIS Pro's 3D solar tools.</w:t>
            </w:r>
          </w:p>
        </w:tc>
      </w:tr>
    </w:tbl>
    <w:p>
      <w:pPr>
        <w:spacing w:after="120"/>
      </w:pPr>
      <w:r>
        <w:t xml:space="preserve"/>
      </w:r>
    </w:p>
    <w:p>
      <w:pPr>
        <w:spacing w:after="80" w:before="0"/>
        <w:jc w:val="left"/>
      </w:pPr>
      <w:r>
        <w:rPr>
          <w:rFonts w:ascii="Calibri" w:cs="Calibri" w:eastAsia="Calibri" w:hAnsi="Calibri"/>
          <w:b w:val="false"/>
          <w:bCs w:val="false"/>
          <w:i w:val="false"/>
          <w:iCs w:val="false"/>
          <w:color w:val="4A4A4A"/>
          <w:sz w:val="22"/>
          <w:szCs w:val="22"/>
        </w:rPr>
        <w:t xml:space="preserve">Additional considerations:</w:t>
      </w:r>
    </w:p>
    <w:p>
      <w:pPr>
        <w:pStyle w:val="ListParagraph"/>
        <w:numPr>
          <w:ilvl w:val="0"/>
          <w:numId w:val="2"/>
        </w:numPr>
        <w:spacing w:after="100"/>
      </w:pPr>
      <w:r>
        <w:rPr>
          <w:rFonts w:ascii="Calibri" w:cs="Calibri" w:eastAsia="Calibri" w:hAnsi="Calibri"/>
          <w:color w:val="4A4A4A"/>
          <w:sz w:val="21"/>
          <w:szCs w:val="21"/>
        </w:rPr>
        <w:t xml:space="preserve">Building height data must be accurate — errors in height produce proportionally incorrect shadow lengths.</w:t>
      </w:r>
    </w:p>
    <w:p>
      <w:pPr>
        <w:pStyle w:val="ListParagraph"/>
        <w:numPr>
          <w:ilvl w:val="0"/>
          <w:numId w:val="2"/>
        </w:numPr>
        <w:spacing w:after="100"/>
      </w:pPr>
      <w:r>
        <w:rPr>
          <w:rFonts w:ascii="Calibri" w:cs="Calibri" w:eastAsia="Calibri" w:hAnsi="Calibri"/>
          <w:color w:val="4A4A4A"/>
          <w:sz w:val="21"/>
          <w:szCs w:val="21"/>
        </w:rPr>
        <w:t xml:space="preserve">Large cities with thousands of buildings generate very large feature datasets for full-day analysis. Consider tiling by district.</w:t>
      </w:r>
    </w:p>
    <w:p>
      <w:pPr>
        <w:pStyle w:val="ListParagraph"/>
        <w:numPr>
          <w:ilvl w:val="0"/>
          <w:numId w:val="2"/>
        </w:numPr>
        <w:spacing w:after="100"/>
      </w:pPr>
      <w:r>
        <w:rPr>
          <w:rFonts w:ascii="Calibri" w:cs="Calibri" w:eastAsia="Calibri" w:hAnsi="Calibri"/>
          <w:color w:val="4A4A4A"/>
          <w:sz w:val="21"/>
          <w:szCs w:val="21"/>
        </w:rPr>
        <w:t xml:space="preserve">Shadow overlap between adjacent buildings is not merged in this implementation — union operations add processing time in dense areas.</w:t>
      </w:r>
    </w:p>
    <w:p>
      <w:pPr>
        <w:pStyle w:val="ListParagraph"/>
        <w:numPr>
          <w:ilvl w:val="0"/>
          <w:numId w:val="2"/>
        </w:numPr>
        <w:spacing w:after="100"/>
      </w:pPr>
      <w:r>
        <w:rPr>
          <w:rFonts w:ascii="Calibri" w:cs="Calibri" w:eastAsia="Calibri" w:hAnsi="Calibri"/>
          <w:color w:val="4A4A4A"/>
          <w:sz w:val="21"/>
          <w:szCs w:val="21"/>
        </w:rPr>
        <w:t xml:space="preserve">The solar position algorithm used here is a simplified analytical model. For sub-degree accuracy, integrate NOAA's Solar Calculator or NREL's Solar Position Algorithm (SPA).</w:t>
      </w:r>
    </w:p>
    <w:p>
      <w:pPr>
        <w:spacing w:after="120"/>
      </w:pPr>
      <w:r>
        <w:t xml:space="preserve"/>
      </w:r>
    </w:p>
    <w:p>
      <w:pPr>
        <w:pStyle w:val="Heading2"/>
      </w:pPr>
      <w:r>
        <w:rPr>
          <w:rFonts w:ascii="Calibri" w:cs="Calibri" w:eastAsia="Calibri" w:hAnsi="Calibri"/>
          <w:b/>
          <w:bCs/>
          <w:color w:val="1D1D1D"/>
          <w:sz w:val="32"/>
          <w:szCs w:val="32"/>
        </w:rPr>
        <w:t xml:space="preserve">Future Directions</w:t>
      </w:r>
    </w:p>
    <w:p>
      <w:pPr>
        <w:spacing w:after="80" w:before="0"/>
        <w:jc w:val="left"/>
      </w:pPr>
      <w:r>
        <w:rPr>
          <w:rFonts w:ascii="Calibri" w:cs="Calibri" w:eastAsia="Calibri" w:hAnsi="Calibri"/>
          <w:b w:val="false"/>
          <w:bCs w:val="false"/>
          <w:i w:val="false"/>
          <w:iCs w:val="false"/>
          <w:color w:val="4A4A4A"/>
          <w:sz w:val="22"/>
          <w:szCs w:val="22"/>
        </w:rPr>
        <w:t xml:space="preserve">Several enhancements could make this workflow production-ready:</w:t>
      </w:r>
    </w:p>
    <w:p>
      <w:pPr>
        <w:pStyle w:val="ListParagraph"/>
        <w:numPr>
          <w:ilvl w:val="0"/>
          <w:numId w:val="2"/>
        </w:numPr>
        <w:spacing w:after="100"/>
      </w:pPr>
      <w:r>
        <w:rPr>
          <w:rFonts w:ascii="Calibri" w:cs="Calibri" w:eastAsia="Calibri" w:hAnsi="Calibri"/>
          <w:color w:val="4A4A4A"/>
          <w:sz w:val="21"/>
          <w:szCs w:val="21"/>
        </w:rPr>
        <w:t xml:space="preserve">GPU-accelerated geometry computation using parallel processing in the Pro SDK for large-city datasets.</w:t>
      </w:r>
    </w:p>
    <w:p>
      <w:pPr>
        <w:pStyle w:val="ListParagraph"/>
        <w:numPr>
          <w:ilvl w:val="0"/>
          <w:numId w:val="2"/>
        </w:numPr>
        <w:spacing w:after="100"/>
      </w:pPr>
      <w:r>
        <w:rPr>
          <w:rFonts w:ascii="Calibri" w:cs="Calibri" w:eastAsia="Calibri" w:hAnsi="Calibri"/>
          <w:color w:val="4A4A4A"/>
          <w:sz w:val="21"/>
          <w:szCs w:val="21"/>
        </w:rPr>
        <w:t xml:space="preserve">Integration with ArcGIS Data Pipelines to schedule automated daily shadow dataset regeneration.</w:t>
      </w:r>
    </w:p>
    <w:p>
      <w:pPr>
        <w:pStyle w:val="ListParagraph"/>
        <w:numPr>
          <w:ilvl w:val="0"/>
          <w:numId w:val="2"/>
        </w:numPr>
        <w:spacing w:after="100"/>
      </w:pPr>
      <w:r>
        <w:rPr>
          <w:rFonts w:ascii="Calibri" w:cs="Calibri" w:eastAsia="Calibri" w:hAnsi="Calibri"/>
          <w:color w:val="4A4A4A"/>
          <w:sz w:val="21"/>
          <w:szCs w:val="21"/>
        </w:rPr>
        <w:t xml:space="preserve">4D streaming using time-aware vector tile layers for web performance at urban scale.</w:t>
      </w:r>
    </w:p>
    <w:p>
      <w:pPr>
        <w:pStyle w:val="ListParagraph"/>
        <w:numPr>
          <w:ilvl w:val="0"/>
          <w:numId w:val="2"/>
        </w:numPr>
        <w:spacing w:after="100"/>
      </w:pPr>
      <w:r>
        <w:rPr>
          <w:rFonts w:ascii="Calibri" w:cs="Calibri" w:eastAsia="Calibri" w:hAnsi="Calibri"/>
          <w:color w:val="4A4A4A"/>
          <w:sz w:val="21"/>
          <w:szCs w:val="21"/>
        </w:rPr>
        <w:t xml:space="preserve">ArcGIS Urban integration to link shadow analysis directly to zoning rule evaluation.</w:t>
      </w:r>
    </w:p>
    <w:p>
      <w:pPr>
        <w:pStyle w:val="ListParagraph"/>
        <w:numPr>
          <w:ilvl w:val="0"/>
          <w:numId w:val="2"/>
        </w:numPr>
        <w:spacing w:after="100"/>
      </w:pPr>
      <w:r>
        <w:rPr>
          <w:rFonts w:ascii="Calibri" w:cs="Calibri" w:eastAsia="Calibri" w:hAnsi="Calibri"/>
          <w:color w:val="4A4A4A"/>
          <w:sz w:val="21"/>
          <w:szCs w:val="21"/>
        </w:rPr>
        <w:t xml:space="preserve">Building-to-building shadow attribution — tracking which buildings cast shadows onto which parcels.</w:t>
      </w:r>
    </w:p>
    <w:p>
      <w:pPr>
        <w:spacing w:after="120"/>
      </w:pPr>
      <w:r>
        <w:t xml:space="preserve"/>
      </w:r>
    </w:p>
    <w:p>
      <w:pPr>
        <w:pStyle w:val="Heading2"/>
      </w:pPr>
      <w:r>
        <w:rPr>
          <w:rFonts w:ascii="Calibri" w:cs="Calibri" w:eastAsia="Calibri" w:hAnsi="Calibri"/>
          <w:b/>
          <w:bCs/>
          <w:color w:val="1D1D1D"/>
          <w:sz w:val="32"/>
          <w:szCs w:val="32"/>
        </w:rPr>
        <w:t xml:space="preserve">Repository and Getting Started</w:t>
      </w:r>
    </w:p>
    <w:p>
      <w:pPr>
        <w:spacing w:after="160" w:before="0"/>
        <w:jc w:val="left"/>
      </w:pPr>
      <w:r>
        <w:rPr>
          <w:rFonts w:ascii="Calibri" w:cs="Calibri" w:eastAsia="Calibri" w:hAnsi="Calibri"/>
          <w:b w:val="false"/>
          <w:bCs w:val="false"/>
          <w:i w:val="false"/>
          <w:iCs w:val="false"/>
          <w:color w:val="4A4A4A"/>
          <w:sz w:val="22"/>
          <w:szCs w:val="22"/>
        </w:rPr>
        <w:t xml:space="preserve">The full implementation — ArcGIS Pro SDK add-in, JavaScript web app, and sample building footprint data — is available on GitHub.</w:t>
      </w:r>
    </w:p>
    <w:tbl>
      <w:tblPr>
        <w:tblW w:type="dxa" w:w="9260"/>
        <w:tblBorders>
          <w:top w:val="none"/>
          <w:left w:val="none"/>
          <w:bottom w:val="none"/>
          <w:right w:val="none"/>
          <w:insideH w:val="single" w:color="auto" w:sz="4"/>
          <w:insideV w:val="single" w:color="auto" w:sz="4"/>
        </w:tblBorders>
      </w:tblPr>
      <w:tblGrid>
        <w:gridCol w:w="180"/>
        <w:gridCol w:w="9080"/>
      </w:tblGrid>
      <w:tr>
        <w:tc>
          <w:tcPr>
            <w:tcW w:type="dxa" w:w="180"/>
            <w:tcBorders>
              <w:top w:val="none" w:color="FFFFFF" w:sz="0"/>
              <w:left w:val="none" w:color="FFFFFF" w:sz="0"/>
              <w:bottom w:val="none" w:color="FFFFFF" w:sz="0"/>
              <w:right w:val="none" w:color="FFFFFF" w:sz="0"/>
            </w:tcBorders>
            <w:shd w:fill="059669"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F0FDF4" w:val="clear"/>
            <w:tcMar>
              <w:top w:type="dxa" w:w="120"/>
              <w:left w:type="dxa" w:w="180"/>
              <w:bottom w:type="dxa" w:w="120"/>
              <w:right w:type="dxa" w:w="160"/>
            </w:tcMar>
          </w:tcPr>
          <w:p>
            <w:pPr>
              <w:spacing w:after="60"/>
            </w:pPr>
            <w:r>
              <w:rPr>
                <w:rFonts w:ascii="Calibri" w:cs="Calibri" w:eastAsia="Calibri" w:hAnsi="Calibri"/>
                <w:b/>
                <w:bCs/>
                <w:color w:val="059669"/>
                <w:sz w:val="20"/>
                <w:szCs w:val="20"/>
              </w:rPr>
              <w:t xml:space="preserve">GitHub Repository</w:t>
            </w:r>
          </w:p>
          <w:p>
            <w:pPr>
              <w:spacing w:after="80"/>
            </w:pPr>
            <w:r>
              <w:rPr>
                <w:rFonts w:ascii="Calibri" w:cs="Calibri" w:eastAsia="Calibri" w:hAnsi="Calibri"/>
                <w:color w:val="1E3A5F"/>
                <w:sz w:val="20"/>
                <w:szCs w:val="20"/>
              </w:rPr>
              <w:t xml:space="preserve">https://github.com/ArifulIslamEsri/city-shadow-project</w:t>
            </w:r>
          </w:p>
        </w:tc>
      </w:tr>
    </w:tbl>
    <w:p>
      <w:pPr>
        <w:spacing w:after="120"/>
      </w:pPr>
      <w:r>
        <w:t xml:space="preserve"/>
      </w:r>
    </w:p>
    <w:p>
      <w:pPr>
        <w:spacing w:after="80" w:before="0"/>
        <w:jc w:val="left"/>
      </w:pPr>
      <w:r>
        <w:rPr>
          <w:rFonts w:ascii="Calibri" w:cs="Calibri" w:eastAsia="Calibri" w:hAnsi="Calibri"/>
          <w:b w:val="false"/>
          <w:bCs w:val="false"/>
          <w:i w:val="false"/>
          <w:iCs w:val="false"/>
          <w:color w:val="4A4A4A"/>
          <w:sz w:val="22"/>
          <w:szCs w:val="22"/>
        </w:rPr>
        <w:t xml:space="preserve">To run the Pro SDK add-in:</w:t>
      </w:r>
    </w:p>
    <w:p>
      <w:pPr>
        <w:pStyle w:val="ListParagraph"/>
        <w:numPr>
          <w:ilvl w:val="0"/>
          <w:numId w:val="3"/>
        </w:numPr>
        <w:spacing w:after="100"/>
      </w:pPr>
      <w:r>
        <w:rPr>
          <w:rFonts w:ascii="Calibri" w:cs="Calibri" w:eastAsia="Calibri" w:hAnsi="Calibri"/>
          <w:color w:val="4A4A4A"/>
          <w:sz w:val="21"/>
          <w:szCs w:val="21"/>
        </w:rPr>
        <w:t xml:space="preserve">Clone the repository and open ProSDK/CityShading.sln in Visual Studio 2022.</w:t>
      </w:r>
    </w:p>
    <w:p>
      <w:pPr>
        <w:pStyle w:val="ListParagraph"/>
        <w:numPr>
          <w:ilvl w:val="0"/>
          <w:numId w:val="3"/>
        </w:numPr>
        <w:spacing w:after="100"/>
      </w:pPr>
      <w:r>
        <w:rPr>
          <w:rFonts w:ascii="Calibri" w:cs="Calibri" w:eastAsia="Calibri" w:hAnsi="Calibri"/>
          <w:color w:val="4A4A4A"/>
          <w:sz w:val="21"/>
          <w:szCs w:val="21"/>
        </w:rPr>
        <w:t xml:space="preserve">Ensure ArcGIS Pro SDK for .NET (200.x) is installed.</w:t>
      </w:r>
    </w:p>
    <w:p>
      <w:pPr>
        <w:pStyle w:val="ListParagraph"/>
        <w:numPr>
          <w:ilvl w:val="0"/>
          <w:numId w:val="3"/>
        </w:numPr>
        <w:spacing w:after="100"/>
      </w:pPr>
      <w:r>
        <w:rPr>
          <w:rFonts w:ascii="Calibri" w:cs="Calibri" w:eastAsia="Calibri" w:hAnsi="Calibri"/>
          <w:color w:val="4A4A4A"/>
          <w:sz w:val="21"/>
          <w:szCs w:val="21"/>
        </w:rPr>
        <w:t xml:space="preserve">Build and run — the add-in appears under Add-In Tab → Shadow Generator in ArcGIS Pro.</w:t>
      </w:r>
    </w:p>
    <w:p>
      <w:pPr>
        <w:pStyle w:val="ListParagraph"/>
        <w:numPr>
          <w:ilvl w:val="0"/>
          <w:numId w:val="3"/>
        </w:numPr>
        <w:spacing w:after="100"/>
      </w:pPr>
      <w:r>
        <w:rPr>
          <w:rFonts w:ascii="Calibri" w:cs="Calibri" w:eastAsia="Calibri" w:hAnsi="Calibri"/>
          <w:color w:val="4A4A4A"/>
          <w:sz w:val="21"/>
          <w:szCs w:val="21"/>
        </w:rPr>
        <w:t xml:space="preserve">Load a building footprint feature class (e.g., NYC OpenData). Shadow polygons are written to Data/ShadowOutput.gdb.</w:t>
      </w:r>
    </w:p>
    <w:p>
      <w:pPr>
        <w:spacing w:after="120"/>
      </w:pPr>
      <w:r>
        <w:t xml:space="preserve"/>
      </w:r>
    </w:p>
    <w:p>
      <w:pPr>
        <w:pStyle w:val="Heading2"/>
      </w:pPr>
      <w:r>
        <w:rPr>
          <w:rFonts w:ascii="Calibri" w:cs="Calibri" w:eastAsia="Calibri" w:hAnsi="Calibri"/>
          <w:b/>
          <w:bCs/>
          <w:color w:val="1D1D1D"/>
          <w:sz w:val="32"/>
          <w:szCs w:val="32"/>
        </w:rPr>
        <w:t xml:space="preserve">Conclusion</w:t>
      </w:r>
    </w:p>
    <w:p>
      <w:pPr>
        <w:spacing w:after="160" w:before="0"/>
        <w:jc w:val="left"/>
      </w:pPr>
      <w:r>
        <w:rPr>
          <w:rFonts w:ascii="Calibri" w:cs="Calibri" w:eastAsia="Calibri" w:hAnsi="Calibri"/>
          <w:b w:val="false"/>
          <w:bCs w:val="false"/>
          <w:i w:val="false"/>
          <w:iCs w:val="false"/>
          <w:color w:val="4A4A4A"/>
          <w:sz w:val="22"/>
          <w:szCs w:val="22"/>
        </w:rPr>
        <w:t xml:space="preserve">Shadow analysis in ArcGIS has always answered the question: "What does this shadow look like?" This project asks a different question: "What can we do with shadow data?"</w:t>
      </w:r>
    </w:p>
    <w:p>
      <w:pPr>
        <w:spacing w:after="160" w:before="0"/>
        <w:jc w:val="left"/>
      </w:pPr>
      <w:r>
        <w:rPr>
          <w:rFonts w:ascii="Calibri" w:cs="Calibri" w:eastAsia="Calibri" w:hAnsi="Calibri"/>
          <w:b w:val="false"/>
          <w:bCs w:val="false"/>
          <w:i w:val="false"/>
          <w:iCs w:val="false"/>
          <w:color w:val="4A4A4A"/>
          <w:sz w:val="22"/>
          <w:szCs w:val="22"/>
        </w:rPr>
        <w:t xml:space="preserve">By shifting shadows from a rendering effect to a persistent, queryable feature layer, we unlock capabilities that standard ArcGIS shadow tools simply do not provide: SQL querying, time-series analysis, spatial joins, enterprise storage, and cross-platform reuse. And with free, high-quality building datasets from NYC Open Data and Google Open Buildings, there is no barrier to getting started.</w:t>
      </w:r>
    </w:p>
    <w:p>
      <w:pPr>
        <w:spacing w:after="200" w:before="0"/>
        <w:jc w:val="left"/>
      </w:pPr>
      <w:r>
        <w:rPr>
          <w:rFonts w:ascii="Calibri" w:cs="Calibri" w:eastAsia="Calibri" w:hAnsi="Calibri"/>
          <w:b w:val="false"/>
          <w:bCs w:val="false"/>
          <w:i w:val="false"/>
          <w:iCs w:val="false"/>
          <w:color w:val="4A4A4A"/>
          <w:sz w:val="22"/>
          <w:szCs w:val="22"/>
        </w:rPr>
        <w:t xml:space="preserve">The ArcGIS Pro SDK for .NET provides the geometry engine to compute shadow polygons programmatically. The ArcGIS Maps SDK for JavaScript provides visualization and query capabilities to consume them. Together, they form a pipeline that moves urban shadow analysis out of the visualization layer and into the data layer — where it can do real analytical work.</w:t>
      </w:r>
    </w:p>
    <w:tbl>
      <w:tblPr>
        <w:tblW w:type="dxa" w:w="9260"/>
        <w:tblBorders>
          <w:top w:val="none"/>
          <w:left w:val="none"/>
          <w:bottom w:val="none"/>
          <w:right w:val="none"/>
          <w:insideH w:val="single" w:color="auto" w:sz="4"/>
          <w:insideV w:val="single" w:color="auto" w:sz="4"/>
        </w:tblBorders>
      </w:tblPr>
      <w:tblGrid>
        <w:gridCol w:w="180"/>
        <w:gridCol w:w="9080"/>
      </w:tblGrid>
      <w:tr>
        <w:tc>
          <w:tcPr>
            <w:tcW w:type="dxa" w:w="180"/>
            <w:tcBorders>
              <w:top w:val="none" w:color="FFFFFF" w:sz="0"/>
              <w:left w:val="none" w:color="FFFFFF" w:sz="0"/>
              <w:bottom w:val="none" w:color="FFFFFF" w:sz="0"/>
              <w:right w:val="none" w:color="FFFFFF" w:sz="0"/>
            </w:tcBorders>
            <w:shd w:fill="0079C1"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EFF6FF" w:val="clear"/>
            <w:tcMar>
              <w:top w:type="dxa" w:w="120"/>
              <w:left w:type="dxa" w:w="180"/>
              <w:bottom w:type="dxa" w:w="120"/>
              <w:right w:type="dxa" w:w="160"/>
            </w:tcMar>
          </w:tcPr>
          <w:p>
            <w:pPr>
              <w:spacing w:after="60"/>
            </w:pPr>
            <w:r>
              <w:rPr>
                <w:rFonts w:ascii="Calibri" w:cs="Calibri" w:eastAsia="Calibri" w:hAnsi="Calibri"/>
                <w:b/>
                <w:bCs/>
                <w:color w:val="0079C1"/>
                <w:sz w:val="20"/>
                <w:szCs w:val="20"/>
              </w:rPr>
              <w:t xml:space="preserve">Share your thoughts</w:t>
            </w:r>
          </w:p>
          <w:p>
            <w:pPr>
              <w:spacing w:after="80"/>
            </w:pPr>
            <w:r>
              <w:rPr>
                <w:rFonts w:ascii="Calibri" w:cs="Calibri" w:eastAsia="Calibri" w:hAnsi="Calibri"/>
                <w:color w:val="1E3A5F"/>
                <w:sz w:val="20"/>
                <w:szCs w:val="20"/>
              </w:rPr>
              <w:t xml:space="preserve">Have you worked with shadow analysis in ArcGIS? Are there regulatory or planning workflows where persistent shadow data would help your organization? Drop a comment on the ArcGIS Community forums or connect on LinkedIn.</w:t>
            </w:r>
          </w:p>
        </w:tc>
      </w:tr>
    </w:tbl>
    <w:p>
      <w:pPr>
        <w:spacing w:after="200"/>
      </w:pPr>
      <w:r>
        <w:t xml:space="preserve"/>
      </w:r>
    </w:p>
    <w:p>
      <w:pPr>
        <w:spacing w:after="200"/>
      </w:pPr>
      <w:r>
        <w:rPr>
          <w:rFonts w:ascii="Calibri" w:cs="Calibri" w:eastAsia="Calibri" w:hAnsi="Calibri"/>
          <w:b/>
          <w:bCs/>
          <w:color w:val="1D1D1D"/>
          <w:sz w:val="24"/>
          <w:szCs w:val="24"/>
        </w:rPr>
        <w:t xml:space="preserve">Download the add-in from </w:t>
      </w:r>
      <w:hyperlink w:history="1" r:id="rIdzvaeyza68avr0i4fvb3np">
        <w:r>
          <w:rPr>
            <w:rStyle w:val="Hyperlink"/>
            <w:rFonts w:ascii="Calibri" w:cs="Calibri" w:eastAsia="Calibri" w:hAnsi="Calibri"/>
            <w:b/>
            <w:bCs/>
            <w:color w:val="0079C1"/>
            <w:sz w:val="24"/>
            <w:szCs w:val="24"/>
            <w:u w:val="single"/>
          </w:rPr>
          <w:t xml:space="preserve">GitHub</w:t>
        </w:r>
      </w:hyperlink>
      <w:r>
        <w:rPr>
          <w:rFonts w:ascii="Calibri" w:cs="Calibri" w:eastAsia="Calibri" w:hAnsi="Calibri"/>
          <w:b/>
          <w:bCs/>
          <w:color w:val="1D1D1D"/>
          <w:sz w:val="24"/>
          <w:szCs w:val="24"/>
        </w:rPr>
        <w:t xml:space="preserve"> and start turning your ArcGIS shadows into data today!</w:t>
      </w:r>
    </w:p>
    <w:p>
      <w:pPr>
        <w:pBdr>
          <w:bottom w:val="single" w:color="0079C1" w:sz="6" w:space="4"/>
        </w:pBdr>
        <w:spacing w:after="20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20"/>
        <w:gridCol w:w="8540"/>
      </w:tblGrid>
      <w:tr>
        <w:tc>
          <w:tcPr>
            <w:tcW w:type="dxa" w:w="720"/>
            <w:tcBorders>
              <w:top w:val="none" w:color="FFFFFF" w:sz="0"/>
              <w:left w:val="none" w:color="FFFFFF" w:sz="0"/>
              <w:bottom w:val="none" w:color="FFFFFF" w:sz="0"/>
              <w:right w:val="none" w:color="FFFFFF" w:sz="0"/>
            </w:tcBorders>
            <w:shd w:fill="0079C1" w:val="clear"/>
            <w:tcMar>
              <w:top w:type="dxa" w:w="120"/>
              <w:left w:type="dxa" w:w="160"/>
              <w:bottom w:type="dxa" w:w="120"/>
              <w:right w:type="dxa" w:w="160"/>
            </w:tcMar>
          </w:tcPr>
          <w:p>
            <w:pPr>
              <w:jc w:val="center"/>
            </w:pPr>
            <w:r>
              <w:rPr>
                <w:rFonts w:ascii="Calibri" w:cs="Calibri" w:eastAsia="Calibri" w:hAnsi="Calibri"/>
                <w:b/>
                <w:bCs/>
                <w:color w:val="FFFFFF"/>
                <w:sz w:val="28"/>
                <w:szCs w:val="28"/>
              </w:rPr>
              <w:t xml:space="preserve">AI</w:t>
            </w:r>
          </w:p>
        </w:tc>
        <w:tc>
          <w:tcPr>
            <w:tcW w:type="dxa" w:w="8540"/>
            <w:tcBorders>
              <w:top w:val="none"/>
              <w:left w:val="none"/>
              <w:bottom w:val="none"/>
              <w:right w:val="none"/>
            </w:tcBorders>
            <w:shd w:fill="F0F4F8" w:val="clear"/>
            <w:tcMar>
              <w:top w:type="dxa" w:w="100"/>
              <w:left w:type="dxa" w:w="160"/>
              <w:bottom w:type="dxa" w:w="100"/>
              <w:right w:type="dxa" w:w="140"/>
            </w:tcMar>
          </w:tcPr>
          <w:p>
            <w:pPr>
              <w:spacing w:after="40"/>
            </w:pPr>
            <w:r>
              <w:rPr>
                <w:rFonts w:ascii="Calibri" w:cs="Calibri" w:eastAsia="Calibri" w:hAnsi="Calibri"/>
                <w:b/>
                <w:bCs/>
                <w:color w:val="1D1D1D"/>
                <w:sz w:val="22"/>
                <w:szCs w:val="22"/>
              </w:rPr>
              <w:t xml:space="preserve">Ariful Islam</w:t>
            </w:r>
          </w:p>
          <w:p>
            <w:pPr>
              <w:spacing w:after="0"/>
            </w:pPr>
            <w:r>
              <w:rPr>
                <w:rFonts w:ascii="Calibri" w:cs="Calibri" w:eastAsia="Calibri" w:hAnsi="Calibri"/>
                <w:color w:val="4A4A4A"/>
                <w:sz w:val="20"/>
                <w:szCs w:val="20"/>
              </w:rPr>
              <w:t xml:space="preserve">GIS Developer specializing in ArcGIS Pro SDK and Maps SDK for JavaScript. Passionate about converting geospatial visualization into actionable data workflows for urban planning and digital twin applications.</w:t>
            </w:r>
          </w:p>
        </w:tc>
      </w:tr>
    </w:tbl>
    <w:p>
      <w:pPr>
        <w:spacing w:after="200"/>
      </w:pPr>
      <w:r>
        <w:t xml:space="preserve"/>
      </w:r>
    </w:p>
    <w:p>
      <w:pPr>
        <w:spacing w:after="200" w:before="0"/>
        <w:jc w:val="left"/>
      </w:pPr>
      <w:r>
        <w:rPr>
          <w:rFonts w:ascii="Calibri" w:cs="Calibri" w:eastAsia="Calibri" w:hAnsi="Calibri"/>
          <w:b/>
          <w:bCs/>
          <w:color w:val="767676"/>
          <w:sz w:val="19"/>
          <w:szCs w:val="19"/>
        </w:rPr>
        <w:t xml:space="preserve">Tags:  </w:t>
      </w:r>
      <w:r>
        <w:rPr>
          <w:rFonts w:ascii="Calibri" w:cs="Calibri" w:eastAsia="Calibri" w:hAnsi="Calibri"/>
          <w:i/>
          <w:iCs/>
          <w:color w:val="767676"/>
          <w:sz w:val="19"/>
          <w:szCs w:val="19"/>
        </w:rPr>
        <w:t xml:space="preserve">3d visualization &amp; analytics  ·  arcgis pro sdk  ·  maps sdk for javascript  ·  urban gis  ·  shadow analysis  ·  feature layer  ·  developer workflow  ·  c#</w:t>
      </w:r>
    </w:p>
    <w:p>
      <w:pPr>
        <w:pBdr>
          <w:bottom w:val="single" w:color="0079C1" w:sz="6" w:space="4"/>
        </w:pBdr>
        <w:spacing w:after="200"/>
      </w:pPr>
      <w:r>
        <w:t xml:space="preserve"/>
      </w:r>
    </w:p>
    <w:p>
      <w:pPr>
        <w:pStyle w:val="Heading3"/>
      </w:pPr>
      <w:r>
        <w:rPr>
          <w:rFonts w:ascii="Calibri" w:cs="Calibri" w:eastAsia="Calibri" w:hAnsi="Calibri"/>
          <w:b/>
          <w:bCs/>
          <w:color w:val="1D1D1D"/>
          <w:sz w:val="26"/>
          <w:szCs w:val="26"/>
        </w:rPr>
        <w:t xml:space="preserve">Related Articles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510"/>
        <w:gridCol w:w="240"/>
        <w:gridCol w:w="4510"/>
      </w:tblGrid>
      <w:tr>
        <w:tc>
          <w:tcPr>
            <w:tcW w:type="dxa" w:w="4510"/>
            <w:tcBorders>
              <w:top w:val="single" w:color="DDE3EA" w:sz="1"/>
              <w:left w:val="single" w:color="DDE3EA" w:sz="1"/>
              <w:bottom w:val="single" w:color="DDE3EA" w:sz="1"/>
              <w:right w:val="single" w:color="DDE3EA" w:sz="1"/>
            </w:tcBorders>
            <w:shd w:fill="FFFFFF" w:val="clear"/>
            <w:tcMar>
              <w:top w:type="dxa" w:w="140"/>
              <w:left w:type="dxa" w:w="160"/>
              <w:bottom w:type="dxa" w:w="140"/>
              <w:right w:type="dxa" w:w="160"/>
            </w:tcMar>
          </w:tcPr>
          <w:p>
            <w:pPr>
              <w:spacing w:after="60"/>
            </w:pPr>
            <w:r>
              <w:rPr>
                <w:rFonts w:ascii="Calibri" w:cs="Calibri" w:eastAsia="Calibri" w:hAnsi="Calibri"/>
                <w:b/>
                <w:bCs/>
                <w:color w:val="0079C1"/>
                <w:sz w:val="17"/>
                <w:szCs w:val="17"/>
              </w:rPr>
              <w:t xml:space="preserve">3D Visualization · ArcGIS Pro</w:t>
            </w:r>
          </w:p>
          <w:p>
            <w:pPr>
              <w:spacing w:after="0"/>
            </w:pPr>
            <w:hyperlink w:history="1" r:id="rIdqurainrv5x7w2hclkiexw">
              <w:r>
                <w:rPr>
                  <w:rStyle w:val="Hyperlink"/>
                  <w:rFonts w:ascii="Calibri" w:cs="Calibri" w:eastAsia="Calibri" w:hAnsi="Calibri"/>
                  <w:b/>
                  <w:bCs/>
                  <w:color w:val="0079C1"/>
                  <w:sz w:val="19"/>
                  <w:szCs w:val="19"/>
                  <w:u w:val="single"/>
                </w:rPr>
                <w:t xml:space="preserve">Create a 3D Printable STL with ArcGIS Pro</w:t>
              </w:r>
            </w:hyperlink>
          </w:p>
        </w:tc>
        <w:tc>
          <w:tcPr>
            <w:tcW w:type="dxa" w:w="240"/>
            <w:tcBorders>
              <w:top w:val="none" w:color="FFFFFF" w:sz="0"/>
              <w:left w:val="none" w:color="FFFFFF" w:sz="0"/>
              <w:bottom w:val="none" w:color="FFFFFF" w:sz="0"/>
              <w:right w:val="none" w:color="FFFFFF" w:sz="0"/>
            </w:tcBorders>
          </w:tcPr>
          <w:p/>
        </w:tc>
        <w:tc>
          <w:tcPr>
            <w:tcW w:type="dxa" w:w="4510"/>
            <w:tcBorders>
              <w:top w:val="single" w:color="DDE3EA" w:sz="1"/>
              <w:left w:val="single" w:color="DDE3EA" w:sz="1"/>
              <w:bottom w:val="single" w:color="DDE3EA" w:sz="1"/>
              <w:right w:val="single" w:color="DDE3EA" w:sz="1"/>
            </w:tcBorders>
            <w:shd w:fill="FFFFFF" w:val="clear"/>
            <w:tcMar>
              <w:top w:type="dxa" w:w="140"/>
              <w:left w:type="dxa" w:w="160"/>
              <w:bottom w:type="dxa" w:w="140"/>
              <w:right w:type="dxa" w:w="160"/>
            </w:tcMar>
          </w:tcPr>
          <w:p>
            <w:pPr>
              <w:spacing w:after="60"/>
            </w:pPr>
            <w:r>
              <w:rPr>
                <w:rFonts w:ascii="Calibri" w:cs="Calibri" w:eastAsia="Calibri" w:hAnsi="Calibri"/>
                <w:b/>
                <w:bCs/>
                <w:color w:val="0079C1"/>
                <w:sz w:val="17"/>
                <w:szCs w:val="17"/>
              </w:rPr>
              <w:t xml:space="preserve">3D Visualization · Scene Viewer</w:t>
            </w:r>
          </w:p>
          <w:p>
            <w:pPr>
              <w:spacing w:after="0"/>
            </w:pPr>
            <w:hyperlink w:history="1" r:id="rIdi0fdssdqxlr8iwo9rtg7w">
              <w:r>
                <w:rPr>
                  <w:rStyle w:val="Hyperlink"/>
                  <w:rFonts w:ascii="Calibri" w:cs="Calibri" w:eastAsia="Calibri" w:hAnsi="Calibri"/>
                  <w:b/>
                  <w:bCs/>
                  <w:color w:val="0079C1"/>
                  <w:sz w:val="19"/>
                  <w:szCs w:val="19"/>
                  <w:u w:val="single"/>
                </w:rPr>
                <w:t xml:space="preserve">Visualizing Flood Simulations: from ArcGIS Pro to the Web with Flow Rendering</w:t>
              </w:r>
            </w:hyperlink>
          </w:p>
        </w:tc>
      </w:tr>
    </w:tbl>
    <w:p>
      <w:pPr>
        <w:spacing w:after="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510"/>
        <w:gridCol w:w="240"/>
        <w:gridCol w:w="4510"/>
      </w:tblGrid>
      <w:tr>
        <w:tc>
          <w:tcPr>
            <w:tcW w:type="dxa" w:w="4510"/>
            <w:tcBorders>
              <w:top w:val="single" w:color="DDE3EA" w:sz="1"/>
              <w:left w:val="single" w:color="DDE3EA" w:sz="1"/>
              <w:bottom w:val="single" w:color="DDE3EA" w:sz="1"/>
              <w:right w:val="single" w:color="DDE3EA" w:sz="1"/>
            </w:tcBorders>
            <w:shd w:fill="FFFFFF" w:val="clear"/>
            <w:tcMar>
              <w:top w:type="dxa" w:w="140"/>
              <w:left w:type="dxa" w:w="160"/>
              <w:bottom w:type="dxa" w:w="140"/>
              <w:right w:type="dxa" w:w="160"/>
            </w:tcMar>
          </w:tcPr>
          <w:p>
            <w:pPr>
              <w:spacing w:after="60"/>
            </w:pPr>
            <w:r>
              <w:rPr>
                <w:rFonts w:ascii="Calibri" w:cs="Calibri" w:eastAsia="Calibri" w:hAnsi="Calibri"/>
                <w:b/>
                <w:bCs/>
                <w:color w:val="0079C1"/>
                <w:sz w:val="17"/>
                <w:szCs w:val="17"/>
              </w:rPr>
              <w:t xml:space="preserve">Local Government · 3D Buildings</w:t>
            </w:r>
          </w:p>
          <w:p>
            <w:pPr>
              <w:spacing w:after="0"/>
            </w:pPr>
            <w:hyperlink w:history="1" r:id="rIdmq23j2piaqkubhicm3azx">
              <w:r>
                <w:rPr>
                  <w:rStyle w:val="Hyperlink"/>
                  <w:rFonts w:ascii="Calibri" w:cs="Calibri" w:eastAsia="Calibri" w:hAnsi="Calibri"/>
                  <w:b/>
                  <w:bCs/>
                  <w:color w:val="0079C1"/>
                  <w:sz w:val="19"/>
                  <w:szCs w:val="19"/>
                  <w:u w:val="single"/>
                </w:rPr>
                <w:t xml:space="preserve">Create High-Detail Buildings with the Updated 3D Buildings Solution</w:t>
              </w:r>
            </w:hyperlink>
          </w:p>
        </w:tc>
        <w:tc>
          <w:tcPr>
            <w:tcW w:type="dxa" w:w="240"/>
            <w:tcBorders>
              <w:top w:val="none" w:color="FFFFFF" w:sz="0"/>
              <w:left w:val="none" w:color="FFFFFF" w:sz="0"/>
              <w:bottom w:val="none" w:color="FFFFFF" w:sz="0"/>
              <w:right w:val="none" w:color="FFFFFF" w:sz="0"/>
            </w:tcBorders>
          </w:tcPr>
          <w:p/>
        </w:tc>
        <w:tc>
          <w:tcPr>
            <w:tcW w:type="dxa" w:w="4510"/>
            <w:tcBorders>
              <w:top w:val="single" w:color="DDE3EA" w:sz="1"/>
              <w:left w:val="single" w:color="DDE3EA" w:sz="1"/>
              <w:bottom w:val="single" w:color="DDE3EA" w:sz="1"/>
              <w:right w:val="single" w:color="DDE3EA" w:sz="1"/>
            </w:tcBorders>
            <w:shd w:fill="FFFFFF" w:val="clear"/>
            <w:tcMar>
              <w:top w:type="dxa" w:w="140"/>
              <w:left w:type="dxa" w:w="160"/>
              <w:bottom w:type="dxa" w:w="140"/>
              <w:right w:type="dxa" w:w="160"/>
            </w:tcMar>
          </w:tcPr>
          <w:p>
            <w:pPr>
              <w:spacing w:after="60"/>
            </w:pPr>
            <w:r>
              <w:rPr>
                <w:rFonts w:ascii="Calibri" w:cs="Calibri" w:eastAsia="Calibri" w:hAnsi="Calibri"/>
                <w:b/>
                <w:bCs/>
                <w:color w:val="0079C1"/>
                <w:sz w:val="17"/>
                <w:szCs w:val="17"/>
              </w:rPr>
              <w:t xml:space="preserve">3D Visualization · ArcGIS Online</w:t>
            </w:r>
          </w:p>
          <w:p>
            <w:pPr>
              <w:spacing w:after="0"/>
            </w:pPr>
            <w:hyperlink w:history="1" r:id="rIdqfrhgm9yeh8d6kldovxoq">
              <w:r>
                <w:rPr>
                  <w:rStyle w:val="Hyperlink"/>
                  <w:rFonts w:ascii="Calibri" w:cs="Calibri" w:eastAsia="Calibri" w:hAnsi="Calibri"/>
                  <w:b/>
                  <w:bCs/>
                  <w:color w:val="0079C1"/>
                  <w:sz w:val="19"/>
                  <w:szCs w:val="19"/>
                  <w:u w:val="single"/>
                </w:rPr>
                <w:t xml:space="preserve">What's New in Scene Viewer (February 2026)</w:t>
              </w:r>
            </w:hyperlink>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10080"/>
      </w:tabs>
      <w:spacing w:before="80"/>
      <w:jc w:val="center"/>
    </w:pPr>
    <w:r>
      <w:rPr>
        <w:rFonts w:ascii="Calibri" w:cs="Calibri" w:eastAsia="Calibri" w:hAnsi="Calibri"/>
        <w:color w:val="999999"/>
        <w:sz w:val="17"/>
        <w:szCs w:val="17"/>
      </w:rPr>
      <w:t xml:space="preserve">© 2025 Esri · ArcGIS Blog  ·  esri.com</w:t>
    </w:r>
    <w:r>
      <w:rPr>
        <w:rFonts w:ascii="Calibri" w:cs="Calibri" w:eastAsia="Calibri" w:hAnsi="Calibri"/>
        <w:color w:val="999999"/>
        <w:sz w:val="17"/>
        <w:szCs w:val="17"/>
      </w:rPr>
      <w:t xml:space="preserve">	Page </w:t>
    </w:r>
    <w:r>
      <w:rPr>
        <w:rFonts w:ascii="Calibri" w:cs="Calibri" w:eastAsia="Calibri" w:hAnsi="Calibri"/>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single" w:color="0079C1" w:sz="8"/>
            <w:right w:val="none"/>
          </w:tcBorders>
          <w:shd w:fill="1A1A2E" w:val="clear"/>
          <w:tcMar>
            <w:top w:type="dxa" w:w="80"/>
            <w:left w:type="dxa" w:w="140"/>
            <w:bottom w:type="dxa" w:w="80"/>
            <w:right w:type="dxa" w:w="100"/>
          </w:tcMar>
        </w:tcPr>
        <w:p>
          <w:r>
            <w:rPr>
              <w:rFonts w:ascii="Calibri" w:cs="Calibri" w:eastAsia="Calibri" w:hAnsi="Calibri"/>
              <w:b/>
              <w:bCs/>
              <w:color w:val="FFFFFF"/>
              <w:sz w:val="22"/>
              <w:szCs w:val="22"/>
            </w:rPr>
            <w:t xml:space="preserve">esri  </w:t>
          </w:r>
          <w:r>
            <w:rPr>
              <w:rFonts w:ascii="Calibri" w:cs="Calibri" w:eastAsia="Calibri" w:hAnsi="Calibri"/>
              <w:color w:val="00B4CC"/>
              <w:sz w:val="20"/>
              <w:szCs w:val="20"/>
            </w:rPr>
            <w:t xml:space="preserve">|  ArcGIS Blog</w:t>
          </w:r>
        </w:p>
      </w:tc>
      <w:tc>
        <w:tcPr>
          <w:tcW w:type="dxa" w:w="5040"/>
          <w:tcBorders>
            <w:top w:val="none"/>
            <w:left w:val="none"/>
            <w:bottom w:val="single" w:color="0079C1" w:sz="8"/>
            <w:right w:val="none"/>
          </w:tcBorders>
          <w:shd w:fill="1A1A2E" w:val="clear"/>
          <w:tcMar>
            <w:top w:type="dxa" w:w="80"/>
            <w:left w:type="dxa" w:w="100"/>
            <w:bottom w:type="dxa" w:w="80"/>
            <w:right w:type="dxa" w:w="140"/>
          </w:tcMar>
        </w:tcPr>
        <w:p>
          <w:pPr>
            <w:jc w:val="right"/>
          </w:pPr>
          <w:r>
            <w:rPr>
              <w:rFonts w:ascii="Calibri" w:cs="Calibri" w:eastAsia="Calibri" w:hAnsi="Calibri"/>
              <w:color w:val="AAAACC"/>
              <w:sz w:val="18"/>
              <w:szCs w:val="18"/>
            </w:rPr>
            <w:t xml:space="preserve">3D Visualization &amp; Analytics  ·  Developers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D1D1D"/>
      <w:sz w:val="44"/>
      <w:szCs w:val="44"/>
    </w:rPr>
  </w:style>
  <w:style w:type="paragraph" w:styleId="Heading2">
    <w:name w:val="Heading 2"/>
    <w:basedOn w:val="Normal"/>
    <w:next w:val="Normal"/>
    <w:qFormat/>
    <w:pPr>
      <w:pBdr>
        <w:top w:val="single" w:color="DDE3EA" w:sz="4" w:space="8"/>
      </w:pBdr>
      <w:spacing w:after="160" w:before="320"/>
      <w:outlineLvl w:val="1"/>
    </w:pPr>
    <w:rPr>
      <w:rFonts w:ascii="Calibri" w:cs="Calibri" w:eastAsia="Calibri" w:hAnsi="Calibri"/>
      <w:b/>
      <w:bCs/>
      <w:color w:val="1D1D1D"/>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D1D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9fcovqngelveymwxobvo" Type="http://schemas.openxmlformats.org/officeDocument/2006/relationships/hyperlink" Target="https://data.cityofnewyork.us/Housing-Development/Building-Footprints/nqwf-w8eh" TargetMode="External"/><Relationship Id="rIdjdsc7_ivienajcio5hvnf" Type="http://schemas.openxmlformats.org/officeDocument/2006/relationships/hyperlink" Target="https://sites.research.google/gr/open-buildings/" TargetMode="External"/><Relationship Id="rIdlhnhcus0jvq7vwuiwa1to" Type="http://schemas.openxmlformats.org/officeDocument/2006/relationships/hyperlink" Target="https://download.geofabrik.de/" TargetMode="External"/><Relationship Id="rIdgws23m3ztkgx5t0xxb8er" Type="http://schemas.openxmlformats.org/officeDocument/2006/relationships/hyperlink" Target="https://github.com/microsoft/USBuildingFootprints" TargetMode="External"/><Relationship Id="rIdzvaeyza68avr0i4fvb3np" Type="http://schemas.openxmlformats.org/officeDocument/2006/relationships/hyperlink" Target="https://github.com/ArifulIslamEsri/city-shadow-project" TargetMode="External"/><Relationship Id="rIdqurainrv5x7w2hclkiexw" Type="http://schemas.openxmlformats.org/officeDocument/2006/relationships/hyperlink" Target="https://www.esri.com/arcgis-blog/products/arcgis-pro/3d-gis/create-a-3d-printable-stl-with-arcgis-pro" TargetMode="External"/><Relationship Id="rIdi0fdssdqxlr8iwo9rtg7w" Type="http://schemas.openxmlformats.org/officeDocument/2006/relationships/hyperlink" Target="https://www.esri.com/arcgis-blog/products/arcgis-online/3d-gis/arcgis-flowrenderer-flood-simulation-visualization" TargetMode="External"/><Relationship Id="rIdmq23j2piaqkubhicm3azx" Type="http://schemas.openxmlformats.org/officeDocument/2006/relationships/hyperlink" Target="https://www.esri.com/arcgis-blog/products/arcgis-solutions/local-government/create-high-detail-buildings-with-the-updated-3d-buildings-solution" TargetMode="External"/><Relationship Id="rIdqfrhgm9yeh8d6kldovxoq" Type="http://schemas.openxmlformats.org/officeDocument/2006/relationships/hyperlink" Target="https://www.esri.com/arcgis-blog/products/arcgis-online/3d-gis/whats-new-in-scene-viewer-february-2026"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2026-04-20T02:57:51.382Z</dcterms:created>
  <dcterms:modified xsi:type="dcterms:W3CDTF">2026-04-20T02:57:51.383Z</dcterms:modified>
</cp:coreProperties>
</file>

<file path=docProps/custom.xml><?xml version="1.0" encoding="utf-8"?>
<Properties xmlns="http://schemas.openxmlformats.org/officeDocument/2006/custom-properties" xmlns:vt="http://schemas.openxmlformats.org/officeDocument/2006/docPropsVTypes"/>
</file>