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DUODRIVEN</w:t>
      </w:r>
    </w:p>
    <w:p>
      <w:pPr>
        <w:pStyle w:val="Subtitle"/>
      </w:pPr>
      <w:r>
        <w:t xml:space="preserve">Full-Stack Growth Engineering</w:t>
      </w:r>
    </w:p>
    <w:p>
      <w:pPr>
        <w:spacing w:before="800"/>
        <w:jc w:val="center"/>
      </w:pPr>
      <w:r>
        <w:rPr>
          <w:b/>
          <w:bCs/>
          <w:color w:val="3B82F6"/>
          <w:sz w:val="32"/>
          <w:szCs w:val="32"/>
        </w:rPr>
        <w:t xml:space="preserve">CORE CAPABILITIES DECK</w:t>
      </w:r>
    </w:p>
    <w:p>
      <w:pPr>
        <w:spacing w:before="200"/>
        <w:jc w:val="center"/>
      </w:pPr>
      <w:r>
        <w:rPr>
          <w:color w:val="64748B"/>
          <w:sz w:val="22"/>
          <w:szCs w:val="22"/>
        </w:rPr>
        <w:t xml:space="preserve">Autonomous Revenue Systems | Proprietary Neural Networks | Category of One</w:t>
      </w:r>
    </w:p>
    <w:p>
      <w:pPr>
        <w:spacing w:before="1600"/>
        <w:jc w:val="center"/>
      </w:pPr>
      <w:r>
        <w:rPr>
          <w:color w:val="334155"/>
          <w:sz w:val="24"/>
          <w:szCs w:val="24"/>
        </w:rPr>
        <w:t xml:space="preserve">Q4 2025</w:t>
      </w:r>
    </w:p>
    <w:p>
      <w:r>
        <w:br w:type="page"/>
      </w:r>
    </w:p>
    <w:p>
      <w:pPr>
        <w:pStyle w:val="Heading1"/>
      </w:pPr>
      <w:r>
        <w:t xml:space="preserve">I. THE STRATEGIC MANIFESTO</w:t>
      </w:r>
    </w:p>
    <w:p>
      <w:pPr>
        <w:pStyle w:val="Quote"/>
      </w:pPr>
      <w:r>
        <w:t xml:space="preserve">"Why hire a marketing agency when you can hire an engineering firm that understands growth?"</w:t>
      </w:r>
    </w:p>
    <w:p>
      <w:pPr>
        <w:spacing w:before="300" w:after="200"/>
      </w:pPr>
      <w:r>
        <w:t xml:space="preserve">The traditional agency model is fundamentally broken. In an era where </w:t>
      </w:r>
      <w:r>
        <w:rPr>
          <w:b/>
          <w:bCs/>
        </w:rPr>
        <w:t xml:space="preserve">60% of searches end without a click</w:t>
      </w:r>
      <w:r>
        <w:t xml:space="preserve"> and AI systems synthesize information before humans ever see a website, the agencies still optimizing for "impressions" and "brand awareness" are selling you 2019 solutions to 2025 problems.</w:t>
      </w:r>
    </w:p>
    <w:p>
      <w:pPr>
        <w:spacing w:after="200"/>
      </w:pPr>
      <w:r>
        <w:t xml:space="preserve">Duodriven exists in a different category entirely. We are not a marketing agency with AI capabilities. We are a </w:t>
      </w:r>
      <w:r>
        <w:rPr>
          <w:b/>
          <w:bCs/>
          <w:i/>
          <w:iCs/>
        </w:rPr>
        <w:t xml:space="preserve">Growth Engineering Firm</w:t>
      </w:r>
      <w:r>
        <w:t xml:space="preserve"> that happens to execute on marketing channels. The distinction is critical:</w:t>
      </w:r>
    </w:p>
    <w:p>
      <w:pPr>
        <w:pStyle w:val="ListParagraph"/>
        <w:numPr>
          <w:ilvl w:val="0"/>
          <w:numId w:val="2"/>
        </w:numPr>
      </w:pPr>
      <w:r>
        <w:rPr>
          <w:b/>
          <w:bCs/>
        </w:rPr>
        <w:t xml:space="preserve">Marketing Agencies</w:t>
      </w:r>
      <w:r>
        <w:t xml:space="preserve"> rent your attention. We build systems that compound.</w:t>
      </w:r>
    </w:p>
    <w:p>
      <w:pPr>
        <w:pStyle w:val="ListParagraph"/>
        <w:numPr>
          <w:ilvl w:val="0"/>
          <w:numId w:val="2"/>
        </w:numPr>
      </w:pPr>
      <w:r>
        <w:rPr>
          <w:b/>
          <w:bCs/>
        </w:rPr>
        <w:t xml:space="preserve">Marketing Agencies</w:t>
      </w:r>
      <w:r>
        <w:t xml:space="preserve"> bill hours. We deliver infrastructure.</w:t>
      </w:r>
    </w:p>
    <w:p>
      <w:pPr>
        <w:pStyle w:val="ListParagraph"/>
        <w:numPr>
          <w:ilvl w:val="0"/>
          <w:numId w:val="2"/>
        </w:numPr>
      </w:pPr>
      <w:r>
        <w:rPr>
          <w:b/>
          <w:bCs/>
        </w:rPr>
        <w:t xml:space="preserve">Marketing Agencies</w:t>
      </w:r>
      <w:r>
        <w:t xml:space="preserve"> promise campaigns. We architect Autonomous Revenue Systems.</w:t>
      </w:r>
    </w:p>
    <w:p>
      <w:pPr>
        <w:spacing w:before="300" w:after="200"/>
      </w:pPr>
      <w:r>
        <w:t xml:space="preserve">The enterprises winning in 2025 understand that </w:t>
      </w:r>
      <w:r>
        <w:rPr>
          <w:b/>
          <w:bCs/>
        </w:rPr>
        <w:t xml:space="preserve">AI agents are not tools—they are a silicon-based workforce</w:t>
      </w:r>
      <w:r>
        <w:t xml:space="preserve"> that complements human talent. McKinsey reports up to 40% efficiency gains for organizations deploying agentic AI. Deloitte confirms 25% of enterprises using GenAI plan to deploy AI agents this year. The question is no longer whether to automate, but whether your automation infrastructure is sophisticated enough to compete.</w:t>
      </w:r>
    </w:p>
    <w:p>
      <w:pPr>
        <w:spacing w:after="200"/>
      </w:pPr>
      <w:r>
        <w:t xml:space="preserve">This deck presents the Duodriven advantage: a hybrid operating model that fuses battle-tested growth marketing with proprietary AI engineering to deliver outcomes that traditional agencies cannot conceptualize, let alone execute.</w:t>
      </w:r>
    </w:p>
    <w:p>
      <w:r>
        <w:br w:type="page"/>
      </w:r>
    </w:p>
    <w:p>
      <w:pPr>
        <w:pStyle w:val="Heading1"/>
      </w:pPr>
      <w:r>
        <w:t xml:space="preserve">II. THE HYBRID SERVICE ECOSYSTEM</w:t>
      </w:r>
    </w:p>
    <w:p>
      <w:pPr>
        <w:spacing w:after="200"/>
      </w:pPr>
      <w:r>
        <w:t xml:space="preserve">Our service architecture operates across three verticals, each designed to address a specific dimension of modern revenue generation. These verticals are not siloed offerings—they are interconnected systems that amplify each other's impact.</w:t>
      </w:r>
    </w:p>
    <w:p>
      <w:pPr>
        <w:pStyle w:val="Heading2"/>
      </w:pPr>
      <w:r>
        <w:t xml:space="preserve">VERTICAL A: GROWTH INFRASTRUCTURE</w:t>
      </w:r>
    </w:p>
    <w:p>
      <w:pPr>
        <w:spacing w:after="100"/>
      </w:pPr>
      <w:r>
        <w:rPr>
          <w:i/>
          <w:iCs/>
          <w:color w:val="64748B"/>
        </w:rPr>
        <w:t xml:space="preserve">Revenue Architecture | Formerly "Traditional Marketing"</w:t>
      </w:r>
    </w:p>
    <w:p>
      <w:pPr>
        <w:spacing w:after="200"/>
      </w:pPr>
      <w:r>
        <w:t xml:space="preserve">The foundation upon which all growth systems are built. We do not execute campaigns—we engineer revenue-generating infrastructure with measurable financial returns.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172A" w:val="clear"/>
          </w:tcPr>
          <w:p>
            <w:r>
              <w:rPr>
                <w:b/>
                <w:bCs/>
                <w:color w:val="FFFFFF"/>
                <w:sz w:val="20"/>
                <w:szCs w:val="20"/>
              </w:rPr>
              <w:t xml:space="preserve">CAPABILITY</w:t>
            </w:r>
          </w:p>
        </w:tc>
        <w:tc>
          <w:tcPr>
            <w:tcW w:type="dxa" w:w="6160"/>
            <w:tcBorders>
              <w:top w:val="single" w:color="E2E8F0" w:sz="1"/>
              <w:left w:val="single" w:color="E2E8F0" w:sz="1"/>
              <w:bottom w:val="single" w:color="E2E8F0" w:sz="1"/>
              <w:right w:val="single" w:color="E2E8F0" w:sz="1"/>
            </w:tcBorders>
            <w:shd w:fill="0F172A" w:val="clear"/>
          </w:tcPr>
          <w:p>
            <w:r>
              <w:rPr>
                <w:b/>
                <w:bCs/>
                <w:color w:val="FFFFFF"/>
                <w:sz w:val="20"/>
                <w:szCs w:val="20"/>
              </w:rPr>
              <w:t xml:space="preserve">FINANCIAL IMPACT</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Social Media Architecture</w:t>
            </w:r>
          </w:p>
        </w:tc>
        <w:tc>
          <w:tcPr>
            <w:tcW w:type="dxa" w:w="6160"/>
            <w:tcBorders>
              <w:top w:val="single" w:color="E2E8F0" w:sz="1"/>
              <w:left w:val="single" w:color="E2E8F0" w:sz="1"/>
              <w:bottom w:val="single" w:color="E2E8F0" w:sz="1"/>
              <w:right w:val="single" w:color="E2E8F0" w:sz="1"/>
            </w:tcBorders>
          </w:tcPr>
          <w:p>
            <w:r>
              <w:rPr>
                <w:sz w:val="20"/>
                <w:szCs w:val="20"/>
              </w:rPr>
              <w:t xml:space="preserve">Brand voice engineering, community velocity systems, and content calendars optimized for engagement-to-conversion ratios.</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High-Intent Acquisition (PPC)</w:t>
            </w:r>
          </w:p>
        </w:tc>
        <w:tc>
          <w:tcPr>
            <w:tcW w:type="dxa" w:w="6160"/>
            <w:tcBorders>
              <w:top w:val="single" w:color="E2E8F0" w:sz="1"/>
              <w:left w:val="single" w:color="E2E8F0" w:sz="1"/>
              <w:bottom w:val="single" w:color="E2E8F0" w:sz="1"/>
              <w:right w:val="single" w:color="E2E8F0" w:sz="1"/>
            </w:tcBorders>
          </w:tcPr>
          <w:p>
            <w:r>
              <w:rPr>
                <w:sz w:val="20"/>
                <w:szCs w:val="20"/>
              </w:rPr>
              <w:t xml:space="preserve">Google Ads and Meta campaigns engineered for CAC optimization. Server-side tagging ensures attribution accuracy in a post-cookie environment.</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Conversion-Focused UI/UX</w:t>
            </w:r>
          </w:p>
        </w:tc>
        <w:tc>
          <w:tcPr>
            <w:tcW w:type="dxa" w:w="6160"/>
            <w:tcBorders>
              <w:top w:val="single" w:color="E2E8F0" w:sz="1"/>
              <w:left w:val="single" w:color="E2E8F0" w:sz="1"/>
              <w:bottom w:val="single" w:color="E2E8F0" w:sz="1"/>
              <w:right w:val="single" w:color="E2E8F0" w:sz="1"/>
            </w:tcBorders>
          </w:tcPr>
          <w:p>
            <w:r>
              <w:rPr>
                <w:sz w:val="20"/>
                <w:szCs w:val="20"/>
              </w:rPr>
              <w:t xml:space="preserve">Web design treated as conversion engineering, not aesthetics. Every element tested against revenue impact.</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Measurement Infrastructure</w:t>
            </w:r>
          </w:p>
        </w:tc>
        <w:tc>
          <w:tcPr>
            <w:tcW w:type="dxa" w:w="6160"/>
            <w:tcBorders>
              <w:top w:val="single" w:color="E2E8F0" w:sz="1"/>
              <w:left w:val="single" w:color="E2E8F0" w:sz="1"/>
              <w:bottom w:val="single" w:color="E2E8F0" w:sz="1"/>
              <w:right w:val="single" w:color="E2E8F0" w:sz="1"/>
            </w:tcBorders>
          </w:tcPr>
          <w:p>
            <w:r>
              <w:rPr>
                <w:sz w:val="20"/>
                <w:szCs w:val="20"/>
              </w:rPr>
              <w:t xml:space="preserve">Meta Pixel, CAPI, GA4, and server-side tagging deployed to capture the full attribution picture. No guesswork—only data.</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Concierge Account Management</w:t>
            </w:r>
          </w:p>
        </w:tc>
        <w:tc>
          <w:tcPr>
            <w:tcW w:type="dxa" w:w="6160"/>
            <w:tcBorders>
              <w:top w:val="single" w:color="E2E8F0" w:sz="1"/>
              <w:left w:val="single" w:color="E2E8F0" w:sz="1"/>
              <w:bottom w:val="single" w:color="E2E8F0" w:sz="1"/>
              <w:right w:val="single" w:color="E2E8F0" w:sz="1"/>
            </w:tcBorders>
          </w:tcPr>
          <w:p>
            <w:r>
              <w:rPr>
                <w:sz w:val="20"/>
                <w:szCs w:val="20"/>
              </w:rPr>
              <w:t xml:space="preserve">Dedicated strategists functioning as embedded growth partners, not ticket-takers.</w:t>
            </w:r>
          </w:p>
        </w:tc>
      </w:tr>
    </w:tbl>
    <w:p>
      <w:r>
        <w:br w:type="page"/>
      </w:r>
    </w:p>
    <w:p>
      <w:pPr>
        <w:pStyle w:val="Heading2"/>
      </w:pPr>
      <w:r>
        <w:t xml:space="preserve">VERTICAL B: AUTONOMOUS OPERATIONS</w:t>
      </w:r>
    </w:p>
    <w:p>
      <w:pPr>
        <w:spacing w:after="100"/>
      </w:pPr>
      <w:r>
        <w:rPr>
          <w:i/>
          <w:iCs/>
          <w:color w:val="64748B"/>
        </w:rPr>
        <w:t xml:space="preserve">Removing Humans From the Loop | The Agentic Infrastructure</w:t>
      </w:r>
    </w:p>
    <w:p>
      <w:pPr>
        <w:spacing w:after="200"/>
      </w:pPr>
      <w:r>
        <w:t xml:space="preserve">This vertical represents the core differentiator. While competitors deploy chatbots, we architect </w:t>
      </w:r>
      <w:r>
        <w:rPr>
          <w:b/>
          <w:bCs/>
        </w:rPr>
        <w:t xml:space="preserve">autonomous agent ecosystems</w:t>
      </w:r>
      <w:r>
        <w:t xml:space="preserve"> that execute, adapt, and optimize without human intervention. Gartner projects that by 2025, 40% of enterprise workflows will include agentic AI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334155" w:val="clear"/>
          </w:tcPr>
          <w:p>
            <w:r>
              <w:rPr>
                <w:b/>
                <w:bCs/>
                <w:color w:val="FFFFFF"/>
                <w:sz w:val="20"/>
                <w:szCs w:val="20"/>
              </w:rPr>
              <w:t xml:space="preserve">AGENT TYPE</w:t>
            </w:r>
          </w:p>
        </w:tc>
        <w:tc>
          <w:tcPr>
            <w:tcW w:type="dxa" w:w="6160"/>
            <w:tcBorders>
              <w:top w:val="single" w:color="E2E8F0" w:sz="1"/>
              <w:left w:val="single" w:color="E2E8F0" w:sz="1"/>
              <w:bottom w:val="single" w:color="E2E8F0" w:sz="1"/>
              <w:right w:val="single" w:color="E2E8F0" w:sz="1"/>
            </w:tcBorders>
            <w:shd w:fill="334155" w:val="clear"/>
          </w:tcPr>
          <w:p>
            <w:r>
              <w:rPr>
                <w:b/>
                <w:bCs/>
                <w:color w:val="FFFFFF"/>
                <w:sz w:val="20"/>
                <w:szCs w:val="20"/>
              </w:rPr>
              <w:t xml:space="preserve">OPERATIONAL IMPACT</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Agentic AI Deployment</w:t>
            </w:r>
          </w:p>
        </w:tc>
        <w:tc>
          <w:tcPr>
            <w:tcW w:type="dxa" w:w="6160"/>
            <w:tcBorders>
              <w:top w:val="single" w:color="E2E8F0" w:sz="1"/>
              <w:left w:val="single" w:color="E2E8F0" w:sz="1"/>
              <w:bottom w:val="single" w:color="E2E8F0" w:sz="1"/>
              <w:right w:val="single" w:color="E2E8F0" w:sz="1"/>
            </w:tcBorders>
          </w:tcPr>
          <w:p>
            <w:r>
              <w:rPr>
                <w:sz w:val="20"/>
                <w:szCs w:val="20"/>
              </w:rPr>
              <w:t xml:space="preserve">Custom autonomous agents built on n8n and LangChain. These systems execute multi-step workflows, make decisions, and escalate exceptions. 40-60% efficiency gains documented.</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Voice AI Systems</w:t>
            </w:r>
          </w:p>
        </w:tc>
        <w:tc>
          <w:tcPr>
            <w:tcW w:type="dxa" w:w="6160"/>
            <w:tcBorders>
              <w:top w:val="single" w:color="E2E8F0" w:sz="1"/>
              <w:left w:val="single" w:color="E2E8F0" w:sz="1"/>
              <w:bottom w:val="single" w:color="E2E8F0" w:sz="1"/>
              <w:right w:val="single" w:color="E2E8F0" w:sz="1"/>
            </w:tcBorders>
          </w:tcPr>
          <w:p>
            <w:r>
              <w:rPr>
                <w:sz w:val="20"/>
                <w:szCs w:val="20"/>
              </w:rPr>
              <w:t xml:space="preserve">Retell AI and Vapi implementations for 24/7 humanoid calling. Lead qualification at zero marginal cost. No lunch breaks. No sick days. No turnover.</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Custom MCP Servers</w:t>
            </w:r>
          </w:p>
        </w:tc>
        <w:tc>
          <w:tcPr>
            <w:tcW w:type="dxa" w:w="6160"/>
            <w:tcBorders>
              <w:top w:val="single" w:color="E2E8F0" w:sz="1"/>
              <w:left w:val="single" w:color="E2E8F0" w:sz="1"/>
              <w:bottom w:val="single" w:color="E2E8F0" w:sz="1"/>
              <w:right w:val="single" w:color="E2E8F0" w:sz="1"/>
            </w:tcBorders>
          </w:tcPr>
          <w:p>
            <w:r>
              <w:rPr>
                <w:sz w:val="20"/>
                <w:szCs w:val="20"/>
              </w:rPr>
              <w:t xml:space="preserve">Model Context Protocol implementation for standardizing agent tools. Your AI systems speak one language, regardless of the underlying model.</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Internal Ops Agents</w:t>
            </w:r>
          </w:p>
        </w:tc>
        <w:tc>
          <w:tcPr>
            <w:tcW w:type="dxa" w:w="6160"/>
            <w:tcBorders>
              <w:top w:val="single" w:color="E2E8F0" w:sz="1"/>
              <w:left w:val="single" w:color="E2E8F0" w:sz="1"/>
              <w:bottom w:val="single" w:color="E2E8F0" w:sz="1"/>
              <w:right w:val="single" w:color="E2E8F0" w:sz="1"/>
            </w:tcBorders>
          </w:tcPr>
          <w:p>
            <w:r>
              <w:rPr>
                <w:sz w:val="20"/>
                <w:szCs w:val="20"/>
              </w:rPr>
              <w:t xml:space="preserve">AI Project Managers that assign tasks in Asana/ClickUp, AI analysts that generate reports, AI QA systems that audit outputs. Human-in-the-loop only for strategic decisions.</w:t>
            </w:r>
          </w:p>
        </w:tc>
      </w:tr>
    </w:tbl>
    <w:p>
      <w:pPr>
        <w:pStyle w:val="Heading2"/>
        <w:spacing w:before="400"/>
      </w:pPr>
      <w:r>
        <w:t xml:space="preserve">VERTICAL C: GENERATIVE CREATIVE</w:t>
      </w:r>
    </w:p>
    <w:p>
      <w:pPr>
        <w:spacing w:after="100"/>
      </w:pPr>
      <w:r>
        <w:rPr>
          <w:i/>
          <w:iCs/>
          <w:color w:val="64748B"/>
        </w:rPr>
        <w:t xml:space="preserve">Infinite Asset Production | The Visual Intelligence Stack</w:t>
      </w:r>
    </w:p>
    <w:p>
      <w:pPr>
        <w:spacing w:after="200"/>
      </w:pPr>
      <w:r>
        <w:t xml:space="preserve">Creative bottlenecks are a relic of the past. Our Visual Intelligence infrastructure produces brand-consistent assets at scale, eliminating the gap between ideation and production.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3B82F6" w:val="clear"/>
          </w:tcPr>
          <w:p>
            <w:r>
              <w:rPr>
                <w:b/>
                <w:bCs/>
                <w:color w:val="FFFFFF"/>
                <w:sz w:val="20"/>
                <w:szCs w:val="20"/>
              </w:rPr>
              <w:t xml:space="preserve">CAPABILITY</w:t>
            </w:r>
          </w:p>
        </w:tc>
        <w:tc>
          <w:tcPr>
            <w:tcW w:type="dxa" w:w="6160"/>
            <w:tcBorders>
              <w:top w:val="single" w:color="E2E8F0" w:sz="1"/>
              <w:left w:val="single" w:color="E2E8F0" w:sz="1"/>
              <w:bottom w:val="single" w:color="E2E8F0" w:sz="1"/>
              <w:right w:val="single" w:color="E2E8F0" w:sz="1"/>
            </w:tcBorders>
            <w:shd w:fill="3B82F6" w:val="clear"/>
          </w:tcPr>
          <w:p>
            <w:r>
              <w:rPr>
                <w:b/>
                <w:bCs/>
                <w:color w:val="FFFFFF"/>
                <w:sz w:val="20"/>
                <w:szCs w:val="20"/>
              </w:rPr>
              <w:t xml:space="preserve">PRODUCTION IMPACT</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Visual Intelligence (LoRA)</w:t>
            </w:r>
          </w:p>
        </w:tc>
        <w:tc>
          <w:tcPr>
            <w:tcW w:type="dxa" w:w="6160"/>
            <w:tcBorders>
              <w:top w:val="single" w:color="E2E8F0" w:sz="1"/>
              <w:left w:val="single" w:color="E2E8F0" w:sz="1"/>
              <w:bottom w:val="single" w:color="E2E8F0" w:sz="1"/>
              <w:right w:val="single" w:color="E2E8F0" w:sz="1"/>
            </w:tcBorders>
          </w:tcPr>
          <w:p>
            <w:r>
              <w:rPr>
                <w:sz w:val="20"/>
                <w:szCs w:val="20"/>
              </w:rPr>
              <w:t xml:space="preserve">Fine-tuned Flux Dev and Stable Diffusion XL models trained on your brand. Every generated image reflects your visual DNA—no prompt engineering required from your team.</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Video Pipelines</w:t>
            </w:r>
          </w:p>
        </w:tc>
        <w:tc>
          <w:tcPr>
            <w:tcW w:type="dxa" w:w="6160"/>
            <w:tcBorders>
              <w:top w:val="single" w:color="E2E8F0" w:sz="1"/>
              <w:left w:val="single" w:color="E2E8F0" w:sz="1"/>
              <w:bottom w:val="single" w:color="E2E8F0" w:sz="1"/>
              <w:right w:val="single" w:color="E2E8F0" w:sz="1"/>
            </w:tcBorders>
          </w:tcPr>
          <w:p>
            <w:r>
              <w:rPr>
                <w:sz w:val="20"/>
                <w:szCs w:val="20"/>
              </w:rPr>
              <w:t xml:space="preserve">Self-hosted Wan 2.2 Multi-GPU architecture for text-to-video. Bypass API rate limits. Bypass per-generation fees. Sovereign media production.</w:t>
            </w:r>
          </w:p>
        </w:tc>
      </w:tr>
      <w:tr>
        <w:tc>
          <w:tcPr>
            <w:tcW w:type="dxa" w:w="3200"/>
            <w:tcBorders>
              <w:top w:val="single" w:color="E2E8F0" w:sz="1"/>
              <w:left w:val="single" w:color="E2E8F0" w:sz="1"/>
              <w:bottom w:val="single" w:color="E2E8F0" w:sz="1"/>
              <w:right w:val="single" w:color="E2E8F0" w:sz="1"/>
            </w:tcBorders>
          </w:tcPr>
          <w:p>
            <w:r>
              <w:rPr>
                <w:b/>
                <w:bCs/>
                <w:sz w:val="20"/>
                <w:szCs w:val="20"/>
              </w:rPr>
              <w:t xml:space="preserve">Infinite Asset Scaling</w:t>
            </w:r>
          </w:p>
        </w:tc>
        <w:tc>
          <w:tcPr>
            <w:tcW w:type="dxa" w:w="6160"/>
            <w:tcBorders>
              <w:top w:val="single" w:color="E2E8F0" w:sz="1"/>
              <w:left w:val="single" w:color="E2E8F0" w:sz="1"/>
              <w:bottom w:val="single" w:color="E2E8F0" w:sz="1"/>
              <w:right w:val="single" w:color="E2E8F0" w:sz="1"/>
            </w:tcBorders>
          </w:tcPr>
          <w:p>
            <w:r>
              <w:rPr>
                <w:sz w:val="20"/>
                <w:szCs w:val="20"/>
              </w:rPr>
              <w:t xml:space="preserve">Generate hundreds of creative variations daily. A/B test at the speed of thought. Move from monthly campaign launches to daily creative refreshes.</w:t>
            </w:r>
          </w:p>
        </w:tc>
      </w:tr>
    </w:tbl>
    <w:p>
      <w:r>
        <w:br w:type="page"/>
      </w:r>
    </w:p>
    <w:p>
      <w:pPr>
        <w:pStyle w:val="Heading1"/>
      </w:pPr>
      <w:r>
        <w:t xml:space="preserve">III. THE ALIGNED INNOVATION LAYER</w:t>
      </w:r>
    </w:p>
    <w:p>
      <w:pPr>
        <w:spacing w:after="200"/>
      </w:pPr>
      <w:r>
        <w:rPr>
          <w:i/>
          <w:iCs/>
          <w:color w:val="64748B"/>
        </w:rPr>
        <w:t xml:space="preserve">2025 High-Ticket Services | Research-Backed Market Positioning</w:t>
      </w:r>
    </w:p>
    <w:p>
      <w:pPr>
        <w:spacing w:after="300"/>
      </w:pPr>
      <w:r>
        <w:t xml:space="preserve">The following services represent the cutting edge of growth engineering—capabilities that most agencies cannot offer because they lack the technical infrastructure to execute. These are not future roadmap items. These are deployed, operational systems.</w:t>
      </w:r>
    </w:p>
    <w:p>
      <w:pPr>
        <w:pStyle w:val="Heading2"/>
      </w:pPr>
      <w:r>
        <w:t xml:space="preserve">1. ANSWER ENGINE OPTIMIZATION (AEO)</w:t>
      </w:r>
    </w:p>
    <w:p>
      <w:pPr>
        <w:spacing w:after="100"/>
      </w:pPr>
      <w:r>
        <w:rPr>
          <w:i/>
          <w:iCs/>
          <w:color w:val="3B82F6"/>
        </w:rPr>
        <w:t xml:space="preserve">Brand Sovereignty in the Zero-Click Era</w:t>
      </w:r>
    </w:p>
    <w:p>
      <w:pPr>
        <w:spacing w:after="200"/>
      </w:pPr>
      <w:r>
        <w:t xml:space="preserve">Traditional SEO is no longer sufficient. ChatGPT serves 300 million weekly users. Perplexity processes 100 million queries per week. Google AI Overviews now appear in 16% of all desktop searches. By 2026, Gartner predicts traditional search volume will drop 25% as AI answer engines absorb discovery traffic.</w:t>
      </w:r>
    </w:p>
    <w:p>
      <w:pPr>
        <w:spacing w:after="200"/>
      </w:pPr>
      <w:r>
        <w:rPr>
          <w:b/>
          <w:bCs/>
        </w:rPr>
        <w:t xml:space="preserve">The Financial Reality: </w:t>
      </w:r>
      <w:r>
        <w:t xml:space="preserve">AI-referred visitors convert 12-18% higher than traditional search traffic. Perplexity drives 6-10x higher click-through rates than ChatGPT. Brands report 20-30% conversion rates from Perplexity traffic on high-intent pages.</w:t>
      </w:r>
    </w:p>
    <w:p>
      <w:pPr>
        <w:spacing w:after="100"/>
      </w:pPr>
      <w:r>
        <w:rPr>
          <w:b/>
          <w:bCs/>
        </w:rPr>
        <w:t xml:space="preserve">Our AEO Methodology:</w:t>
      </w:r>
    </w:p>
    <w:p>
      <w:pPr>
        <w:pStyle w:val="ListParagraph"/>
        <w:numPr>
          <w:ilvl w:val="0"/>
          <w:numId w:val="2"/>
        </w:numPr>
      </w:pPr>
      <w:r>
        <w:rPr>
          <w:b/>
          <w:bCs/>
        </w:rPr>
        <w:t xml:space="preserve">Citation Architecture: </w:t>
      </w:r>
      <w:r>
        <w:t xml:space="preserve">We structure your content to be the "canonical answer" that ChatGPT, Perplexity, and Gemini cite. Schema markup, semantic HTML, and E-E-A-T signals engineered for AI comprehension.</w:t>
      </w:r>
    </w:p>
    <w:p>
      <w:pPr>
        <w:pStyle w:val="ListParagraph"/>
        <w:numPr>
          <w:ilvl w:val="0"/>
          <w:numId w:val="2"/>
        </w:numPr>
      </w:pPr>
      <w:r>
        <w:rPr>
          <w:b/>
          <w:bCs/>
        </w:rPr>
        <w:t xml:space="preserve">Crawler Whitelisting: </w:t>
      </w:r>
      <w:r>
        <w:t xml:space="preserve">68% of enterprise websites inadvertently block AI crawlers. We audit and configure GPTBot, ClaudeBot, and PerplexityBot access.</w:t>
      </w:r>
    </w:p>
    <w:p>
      <w:pPr>
        <w:pStyle w:val="ListParagraph"/>
        <w:numPr>
          <w:ilvl w:val="0"/>
          <w:numId w:val="2"/>
        </w:numPr>
      </w:pPr>
      <w:r>
        <w:rPr>
          <w:b/>
          <w:bCs/>
        </w:rPr>
        <w:t xml:space="preserve">Brand Sentiment Monitoring: </w:t>
      </w:r>
      <w:r>
        <w:t xml:space="preserve">Continuous tracking of how AI systems characterize your brand across competitive queries. Monthly visibility scoring across five dimensions.</w:t>
      </w:r>
    </w:p>
    <w:p>
      <w:pPr>
        <w:pStyle w:val="ListParagraph"/>
        <w:numPr>
          <w:ilvl w:val="0"/>
          <w:numId w:val="2"/>
        </w:numPr>
      </w:pPr>
      <w:r>
        <w:rPr>
          <w:b/>
          <w:bCs/>
        </w:rPr>
        <w:t xml:space="preserve">Zero-Click Funnel Design: </w:t>
      </w:r>
      <w:r>
        <w:t xml:space="preserve">When users get answers without clicking, brand perception happens inside the AI response. We engineer that perception.</w:t>
      </w:r>
    </w:p>
    <w:p>
      <w:pPr>
        <w:pStyle w:val="Heading2"/>
        <w:spacing w:before="400"/>
      </w:pPr>
      <w:r>
        <w:t xml:space="preserve">2. INTERNAL OPERATIONS AGENTS</w:t>
      </w:r>
    </w:p>
    <w:p>
      <w:pPr>
        <w:spacing w:after="100"/>
      </w:pPr>
      <w:r>
        <w:rPr>
          <w:i/>
          <w:iCs/>
          <w:color w:val="3B82F6"/>
        </w:rPr>
        <w:t xml:space="preserve">Beyond Chatbots | True Autonomous Execution</w:t>
      </w:r>
    </w:p>
    <w:p>
      <w:pPr>
        <w:spacing w:after="200"/>
      </w:pPr>
      <w:r>
        <w:t xml:space="preserve">The era of single-task chatbots is over. Enterprises are deploying multi-agent ecosystems where AI systems collaborate across departments—sales agents updating forecasts, finance agents adjusting budgets, operations agents scheduling production—all working in sync. The MIT Sloan Management Review confirms: agentic AI represents a fundamental shift in how organizations create value.</w:t>
      </w:r>
    </w:p>
    <w:p>
      <w:pPr>
        <w:spacing w:after="100"/>
      </w:pPr>
      <w:r>
        <w:rPr>
          <w:b/>
          <w:bCs/>
        </w:rPr>
        <w:t xml:space="preserve">Agent Deployment Options:</w:t>
      </w:r>
    </w:p>
    <w:p>
      <w:pPr>
        <w:pStyle w:val="ListParagraph"/>
        <w:numPr>
          <w:ilvl w:val="0"/>
          <w:numId w:val="2"/>
        </w:numPr>
      </w:pPr>
      <w:r>
        <w:rPr>
          <w:b/>
          <w:bCs/>
        </w:rPr>
        <w:t xml:space="preserve">AI Project Manager: </w:t>
      </w:r>
      <w:r>
        <w:t xml:space="preserve">Assigns tasks in Asana/ClickUp based on project requirements, tracks progress, escalates blockers, and generates status reports. Human oversight for strategic decisions only.</w:t>
      </w:r>
    </w:p>
    <w:p>
      <w:pPr>
        <w:pStyle w:val="ListParagraph"/>
        <w:numPr>
          <w:ilvl w:val="0"/>
          <w:numId w:val="2"/>
        </w:numPr>
      </w:pPr>
      <w:r>
        <w:rPr>
          <w:b/>
          <w:bCs/>
        </w:rPr>
        <w:t xml:space="preserve">AI Research Analyst: </w:t>
      </w:r>
      <w:r>
        <w:t xml:space="preserve">Discovers, summarizes, and synthesizes market intelligence. Monitors competitor movements. Generates briefings on industry developments.</w:t>
      </w:r>
    </w:p>
    <w:p>
      <w:pPr>
        <w:pStyle w:val="ListParagraph"/>
        <w:numPr>
          <w:ilvl w:val="0"/>
          <w:numId w:val="2"/>
        </w:numPr>
      </w:pPr>
      <w:r>
        <w:rPr>
          <w:b/>
          <w:bCs/>
        </w:rPr>
        <w:t xml:space="preserve">AI Quality Auditor: </w:t>
      </w:r>
      <w:r>
        <w:t xml:space="preserve">Reviews deliverables against specifications. Flags inconsistencies. Maintains quality standards at scale without reviewer fatigue.</w:t>
      </w:r>
    </w:p>
    <w:p>
      <w:pPr>
        <w:pStyle w:val="ListParagraph"/>
        <w:numPr>
          <w:ilvl w:val="0"/>
          <w:numId w:val="2"/>
        </w:numPr>
      </w:pPr>
      <w:r>
        <w:rPr>
          <w:b/>
          <w:bCs/>
        </w:rPr>
        <w:t xml:space="preserve">AI Customer Success Agent: </w:t>
      </w:r>
      <w:r>
        <w:t xml:space="preserve">Monitors usage patterns, identifies at-risk accounts, triggers proactive outreach, and schedules interventions before churn occurs.</w:t>
      </w:r>
    </w:p>
    <w:p>
      <w:pPr>
        <w:pStyle w:val="Heading2"/>
        <w:spacing w:before="400"/>
      </w:pPr>
      <w:r>
        <w:t xml:space="preserve">3. HYPER-PERSONALIZED GENERATIVE MARKETING</w:t>
      </w:r>
    </w:p>
    <w:p>
      <w:pPr>
        <w:spacing w:after="100"/>
      </w:pPr>
      <w:r>
        <w:rPr>
          <w:i/>
          <w:iCs/>
          <w:color w:val="3B82F6"/>
        </w:rPr>
        <w:t xml:space="preserve">10,000 Unique Ads for 10,000 Unique Leads | 1:1 Scale</w:t>
      </w:r>
    </w:p>
    <w:p>
      <w:pPr>
        <w:spacing w:after="200"/>
      </w:pPr>
      <w:r>
        <w:t xml:space="preserve">72% of consumers only engage with personalized messaging. Yet most brands deliver the same creative to millions. Our Visual AI stack changes this equation: we generate </w:t>
      </w:r>
      <w:r>
        <w:rPr>
          <w:b/>
          <w:bCs/>
        </w:rPr>
        <w:t xml:space="preserve">unique image and video assets for individual leads</w:t>
      </w:r>
      <w:r>
        <w:t xml:space="preserve">, at scale, in real-time.</w:t>
      </w:r>
    </w:p>
    <w:p>
      <w:pPr>
        <w:spacing w:after="100"/>
      </w:pPr>
      <w:r>
        <w:rPr>
          <w:b/>
          <w:bCs/>
        </w:rPr>
        <w:t xml:space="preserve">The Technical Stack:</w:t>
      </w:r>
    </w:p>
    <w:p>
      <w:pPr>
        <w:pStyle w:val="ListParagraph"/>
        <w:numPr>
          <w:ilvl w:val="0"/>
          <w:numId w:val="2"/>
        </w:numPr>
      </w:pPr>
      <w:r>
        <w:rPr>
          <w:b/>
          <w:bCs/>
        </w:rPr>
        <w:t xml:space="preserve">Dynamic Asset Generation: </w:t>
      </w:r>
      <w:r>
        <w:t xml:space="preserve">LoRA-tuned models produce brand-consistent imagery personalized to each recipient's industry, role, and behavioral signals.</w:t>
      </w:r>
    </w:p>
    <w:p>
      <w:pPr>
        <w:pStyle w:val="ListParagraph"/>
        <w:numPr>
          <w:ilvl w:val="0"/>
          <w:numId w:val="2"/>
        </w:numPr>
      </w:pPr>
      <w:r>
        <w:rPr>
          <w:b/>
          <w:bCs/>
        </w:rPr>
        <w:t xml:space="preserve">Volume-First Testing: </w:t>
      </w:r>
      <w:r>
        <w:t xml:space="preserve">Move from monthly campaigns to daily creative refreshes. Generate hundreds of variations. Let data—not opinion—dictate winners.</w:t>
      </w:r>
    </w:p>
    <w:p>
      <w:pPr>
        <w:pStyle w:val="ListParagraph"/>
        <w:numPr>
          <w:ilvl w:val="0"/>
          <w:numId w:val="2"/>
        </w:numPr>
      </w:pPr>
      <w:r>
        <w:rPr>
          <w:b/>
          <w:bCs/>
        </w:rPr>
        <w:t xml:space="preserve">Copy Personalization: </w:t>
      </w:r>
      <w:r>
        <w:t xml:space="preserve">Every SMS, email, and ad can carry copy tailored to individual customer profiles—sentiment, tone, offer, and timing all calibrated.</w:t>
      </w:r>
    </w:p>
    <w:p>
      <w:pPr>
        <w:spacing w:before="200" w:after="200"/>
      </w:pPr>
      <w:r>
        <w:rPr>
          <w:b/>
          <w:bCs/>
        </w:rPr>
        <w:t xml:space="preserve">Documented Impact: </w:t>
      </w:r>
      <w:r>
        <w:t xml:space="preserve">Brands using AI-driven personalization achieve 20% average sales increases (BCG). Starbucks reported 30% ROI lift and 15% engagement increase through their AI personalization engine.</w:t>
      </w:r>
    </w:p>
    <w:p>
      <w:pPr>
        <w:pStyle w:val="Heading2"/>
        <w:spacing w:before="400"/>
      </w:pPr>
      <w:r>
        <w:t xml:space="preserve">4. SOVEREIGN AI INFRASTRUCTURE</w:t>
      </w:r>
    </w:p>
    <w:p>
      <w:pPr>
        <w:spacing w:after="100"/>
      </w:pPr>
      <w:r>
        <w:rPr>
          <w:i/>
          <w:iCs/>
          <w:color w:val="3B82F6"/>
        </w:rPr>
        <w:t xml:space="preserve">Self-Hosted Systems for Data-Sensitive Enterprises</w:t>
      </w:r>
    </w:p>
    <w:p>
      <w:pPr>
        <w:spacing w:after="200"/>
      </w:pPr>
      <w:r>
        <w:t xml:space="preserve">For enterprises in regulated industries—healthcare, finance, government, defense—data cannot leave your infrastructure. The U.S. CLOUD Act means data on American hyperscaler platforms may be subject to foreign government access. GDPR, HIPAA, and the EU AI Act impose strict data locality requirements. The answer is not to avoid AI—the answer is </w:t>
      </w:r>
      <w:r>
        <w:rPr>
          <w:b/>
          <w:bCs/>
        </w:rPr>
        <w:t xml:space="preserve">Sovereign AI Infrastructure</w:t>
      </w:r>
      <w:r>
        <w:t xml:space="preserve">.</w:t>
      </w:r>
    </w:p>
    <w:p>
      <w:pPr>
        <w:spacing w:after="100"/>
      </w:pPr>
      <w:r>
        <w:rPr>
          <w:b/>
          <w:bCs/>
        </w:rPr>
        <w:t xml:space="preserve">Our Sovereign Stack:</w:t>
      </w:r>
    </w:p>
    <w:p>
      <w:pPr>
        <w:pStyle w:val="ListParagraph"/>
        <w:numPr>
          <w:ilvl w:val="0"/>
          <w:numId w:val="2"/>
        </w:numPr>
      </w:pPr>
      <w:r>
        <w:rPr>
          <w:b/>
          <w:bCs/>
        </w:rPr>
        <w:t xml:space="preserve">Self-Hosted Image Generation: </w:t>
      </w:r>
      <w:r>
        <w:t xml:space="preserve">Flux and Stable Diffusion models running on your infrastructure. No API calls to external services. No training data exposure.</w:t>
      </w:r>
    </w:p>
    <w:p>
      <w:pPr>
        <w:pStyle w:val="ListParagraph"/>
        <w:numPr>
          <w:ilvl w:val="0"/>
          <w:numId w:val="2"/>
        </w:numPr>
      </w:pPr>
      <w:r>
        <w:rPr>
          <w:b/>
          <w:bCs/>
        </w:rPr>
        <w:t xml:space="preserve">Self-Hosted Video Production: </w:t>
      </w:r>
      <w:r>
        <w:t xml:space="preserve">Multi-GPU Wan 2.2 architecture deployed on-premise. Sovereign media production with zero external dependencies.</w:t>
      </w:r>
    </w:p>
    <w:p>
      <w:pPr>
        <w:pStyle w:val="ListParagraph"/>
        <w:numPr>
          <w:ilvl w:val="0"/>
          <w:numId w:val="2"/>
        </w:numPr>
      </w:pPr>
      <w:r>
        <w:rPr>
          <w:b/>
          <w:bCs/>
        </w:rPr>
        <w:t xml:space="preserve">Private Agent Orchestration: </w:t>
      </w:r>
      <w:r>
        <w:t xml:space="preserve">Agentic workflows running entirely within your security perimeter. Full audit trails. No vendor lock-in.</w:t>
      </w:r>
    </w:p>
    <w:p>
      <w:pPr>
        <w:pStyle w:val="ListParagraph"/>
        <w:numPr>
          <w:ilvl w:val="0"/>
          <w:numId w:val="2"/>
        </w:numPr>
      </w:pPr>
      <w:r>
        <w:rPr>
          <w:b/>
          <w:bCs/>
        </w:rPr>
        <w:t xml:space="preserve">Compliance by Design: </w:t>
      </w:r>
      <w:r>
        <w:t xml:space="preserve">Architecture engineered for auditability and policy enforcement at every layer. Meet evolving requirements without retrofitting.</w:t>
      </w:r>
    </w:p>
    <w:p>
      <w:r>
        <w:br w:type="page"/>
      </w:r>
    </w:p>
    <w:p>
      <w:pPr>
        <w:pStyle w:val="Heading1"/>
      </w:pPr>
      <w:r>
        <w:t xml:space="preserve">IV. ENGINEERING SHOWCASES</w:t>
      </w:r>
    </w:p>
    <w:p>
      <w:pPr>
        <w:spacing w:after="300"/>
      </w:pPr>
      <w:r>
        <w:rPr>
          <w:i/>
          <w:iCs/>
          <w:color w:val="64748B"/>
        </w:rPr>
        <w:t xml:space="preserve">Challenge → Technical Solution → Financial Impact</w:t>
      </w:r>
    </w:p>
    <w:p>
      <w:pPr>
        <w:pStyle w:val="Heading2"/>
      </w:pPr>
      <w:r>
        <w:t xml:space="preserve">PROJECT A: SELF-HOSTED IMAGE GENERATION ENGINE</w:t>
      </w:r>
    </w:p>
    <w:p>
      <w:pPr>
        <w:spacing w:after="100"/>
      </w:pPr>
      <w:r>
        <w:rPr>
          <w:b/>
          <w:bCs/>
          <w:color w:val="0F172A"/>
        </w:rPr>
        <w:t xml:space="preserve">THE CHALLENGE:</w:t>
      </w:r>
    </w:p>
    <w:p>
      <w:pPr>
        <w:spacing w:after="200"/>
      </w:pPr>
      <w:r>
        <w:t xml:space="preserve">E-commerce client required 500+ product lifestyle images monthly. Model hiring and photography studio costs exceeded $40,000/month. Turnaround time: 3 weeks per batch. Brand consistency was variable based on photographer and model selection.</w:t>
      </w:r>
    </w:p>
    <w:p>
      <w:pPr>
        <w:spacing w:after="100"/>
      </w:pPr>
      <w:r>
        <w:rPr>
          <w:b/>
          <w:bCs/>
          <w:color w:val="0F172A"/>
        </w:rPr>
        <w:t xml:space="preserve">THE TECHNICAL SOLUTION:</w:t>
      </w:r>
    </w:p>
    <w:p>
      <w:pPr>
        <w:pStyle w:val="ListParagraph"/>
        <w:numPr>
          <w:ilvl w:val="0"/>
          <w:numId w:val="3"/>
        </w:numPr>
      </w:pPr>
      <w:r>
        <w:t xml:space="preserve">Deployed self-hosted Flux Dev infrastructure on client's AWS environment.</w:t>
      </w:r>
    </w:p>
    <w:p>
      <w:pPr>
        <w:pStyle w:val="ListParagraph"/>
        <w:numPr>
          <w:ilvl w:val="0"/>
          <w:numId w:val="3"/>
        </w:numPr>
      </w:pPr>
      <w:r>
        <w:t xml:space="preserve">Trained custom LoRA model on 500 approved brand images to capture visual DNA.</w:t>
      </w:r>
    </w:p>
    <w:p>
      <w:pPr>
        <w:pStyle w:val="ListParagraph"/>
        <w:numPr>
          <w:ilvl w:val="0"/>
          <w:numId w:val="3"/>
        </w:numPr>
      </w:pPr>
      <w:r>
        <w:t xml:space="preserve">Built automated pipeline: prompt → generation → quality filtering → asset library.</w:t>
      </w:r>
    </w:p>
    <w:p>
      <w:pPr>
        <w:pStyle w:val="ListParagraph"/>
        <w:numPr>
          <w:ilvl w:val="0"/>
          <w:numId w:val="3"/>
        </w:numPr>
      </w:pPr>
      <w:r>
        <w:t xml:space="preserve">Integrated with product catalog for dynamic lifestyle scene generation.</w:t>
      </w:r>
    </w:p>
    <w:p>
      <w:pPr>
        <w:spacing w:before="200" w:after="100"/>
      </w:pPr>
      <w:r>
        <w:rPr>
          <w:b/>
          <w:bCs/>
          <w:color w:val="10B981"/>
        </w:rPr>
        <w:t xml:space="preserve">THE FINANCIAL IMPACT:</w:t>
      </w:r>
    </w:p>
    <w:p>
      <w:pPr>
        <w:pStyle w:val="ListParagraph"/>
        <w:numPr>
          <w:ilvl w:val="0"/>
          <w:numId w:val="2"/>
        </w:numPr>
      </w:pPr>
      <w:r>
        <w:rPr>
          <w:b/>
          <w:bCs/>
        </w:rPr>
        <w:t xml:space="preserve">Cost reduction: </w:t>
      </w:r>
      <w:r>
        <w:t xml:space="preserve">$40,000/month → $2,400/month (infrastructure + compute). 94% savings.</w:t>
      </w:r>
    </w:p>
    <w:p>
      <w:pPr>
        <w:pStyle w:val="ListParagraph"/>
        <w:numPr>
          <w:ilvl w:val="0"/>
          <w:numId w:val="2"/>
        </w:numPr>
      </w:pPr>
      <w:r>
        <w:rPr>
          <w:b/>
          <w:bCs/>
        </w:rPr>
        <w:t xml:space="preserve">Turnaround: </w:t>
      </w:r>
      <w:r>
        <w:t xml:space="preserve">3 weeks → 24 hours. 21x faster.</w:t>
      </w:r>
    </w:p>
    <w:p>
      <w:pPr>
        <w:pStyle w:val="ListParagraph"/>
        <w:numPr>
          <w:ilvl w:val="0"/>
          <w:numId w:val="2"/>
        </w:numPr>
      </w:pPr>
      <w:r>
        <w:rPr>
          <w:b/>
          <w:bCs/>
        </w:rPr>
        <w:t xml:space="preserve">Volume: </w:t>
      </w:r>
      <w:r>
        <w:t xml:space="preserve">500 images/month → 2,000+ images/month. No incremental cost.</w:t>
      </w:r>
    </w:p>
    <w:p>
      <w:pPr>
        <w:pStyle w:val="ListParagraph"/>
        <w:numPr>
          <w:ilvl w:val="0"/>
          <w:numId w:val="2"/>
        </w:numPr>
      </w:pPr>
      <w:r>
        <w:rPr>
          <w:b/>
          <w:bCs/>
        </w:rPr>
        <w:t xml:space="preserve">Brand consistency: </w:t>
      </w:r>
      <w:r>
        <w:t xml:space="preserve">100% adherence to trained visual standards.</w:t>
      </w:r>
    </w:p>
    <w:p>
      <w:pPr>
        <w:pStyle w:val="Heading2"/>
        <w:spacing w:before="400"/>
      </w:pPr>
      <w:r>
        <w:t xml:space="preserve">PROJECT B: HUMANOID CALLING AGENT</w:t>
      </w:r>
    </w:p>
    <w:p>
      <w:pPr>
        <w:spacing w:after="100"/>
      </w:pPr>
      <w:r>
        <w:rPr>
          <w:b/>
          <w:bCs/>
          <w:color w:val="0F172A"/>
        </w:rPr>
        <w:t xml:space="preserve">THE CHALLENGE:</w:t>
      </w:r>
    </w:p>
    <w:p>
      <w:pPr>
        <w:spacing w:after="200"/>
      </w:pPr>
      <w:r>
        <w:t xml:space="preserve">B2B SaaS client's SDR team burned $180,000/year on lead qualification calls. 70% of calls resulted in disqualification. Human SDRs worked 40 hours/week with high turnover. Response time to inbound leads averaged 4 hours.</w:t>
      </w:r>
    </w:p>
    <w:p>
      <w:pPr>
        <w:spacing w:after="100"/>
      </w:pPr>
      <w:r>
        <w:rPr>
          <w:b/>
          <w:bCs/>
          <w:color w:val="0F172A"/>
        </w:rPr>
        <w:t xml:space="preserve">THE TECHNICAL SOLUTION:</w:t>
      </w:r>
    </w:p>
    <w:p>
      <w:pPr>
        <w:pStyle w:val="ListParagraph"/>
        <w:numPr>
          <w:ilvl w:val="0"/>
          <w:numId w:val="4"/>
        </w:numPr>
      </w:pPr>
      <w:r>
        <w:t xml:space="preserve">Deployed Retell AI voice agent with custom conversation flows.</w:t>
      </w:r>
    </w:p>
    <w:p>
      <w:pPr>
        <w:pStyle w:val="ListParagraph"/>
        <w:numPr>
          <w:ilvl w:val="0"/>
          <w:numId w:val="4"/>
        </w:numPr>
      </w:pPr>
      <w:r>
        <w:t xml:space="preserve">Integrated with CRM for real-time lead data enrichment during calls.</w:t>
      </w:r>
    </w:p>
    <w:p>
      <w:pPr>
        <w:pStyle w:val="ListParagraph"/>
        <w:numPr>
          <w:ilvl w:val="0"/>
          <w:numId w:val="4"/>
        </w:numPr>
      </w:pPr>
      <w:r>
        <w:t xml:space="preserve">Built qualification logic mirroring top-performer SDR decision trees.</w:t>
      </w:r>
    </w:p>
    <w:p>
      <w:pPr>
        <w:pStyle w:val="ListParagraph"/>
        <w:numPr>
          <w:ilvl w:val="0"/>
          <w:numId w:val="4"/>
        </w:numPr>
      </w:pPr>
      <w:r>
        <w:t xml:space="preserve">Configured handoff protocols for qualified leads to human closers.</w:t>
      </w:r>
    </w:p>
    <w:p>
      <w:pPr>
        <w:spacing w:before="200" w:after="100"/>
      </w:pPr>
      <w:r>
        <w:rPr>
          <w:b/>
          <w:bCs/>
          <w:color w:val="10B981"/>
        </w:rPr>
        <w:t xml:space="preserve">THE FINANCIAL IMPACT:</w:t>
      </w:r>
    </w:p>
    <w:p>
      <w:pPr>
        <w:pStyle w:val="ListParagraph"/>
        <w:numPr>
          <w:ilvl w:val="0"/>
          <w:numId w:val="2"/>
        </w:numPr>
      </w:pPr>
      <w:r>
        <w:rPr>
          <w:b/>
          <w:bCs/>
        </w:rPr>
        <w:t xml:space="preserve">Labor cost: </w:t>
      </w:r>
      <w:r>
        <w:t xml:space="preserve">$180,000/year → $18,000/year. 90% reduction.</w:t>
      </w:r>
    </w:p>
    <w:p>
      <w:pPr>
        <w:pStyle w:val="ListParagraph"/>
        <w:numPr>
          <w:ilvl w:val="0"/>
          <w:numId w:val="2"/>
        </w:numPr>
      </w:pPr>
      <w:r>
        <w:rPr>
          <w:b/>
          <w:bCs/>
        </w:rPr>
        <w:t xml:space="preserve">Coverage: </w:t>
      </w:r>
      <w:r>
        <w:t xml:space="preserve">40 hours/week → 168 hours/week. 24/7 operation.</w:t>
      </w:r>
    </w:p>
    <w:p>
      <w:pPr>
        <w:pStyle w:val="ListParagraph"/>
        <w:numPr>
          <w:ilvl w:val="0"/>
          <w:numId w:val="2"/>
        </w:numPr>
      </w:pPr>
      <w:r>
        <w:rPr>
          <w:b/>
          <w:bCs/>
        </w:rPr>
        <w:t xml:space="preserve">Response time: </w:t>
      </w:r>
      <w:r>
        <w:t xml:space="preserve">4 hours → 90 seconds. Inbound leads called within 2 minutes.</w:t>
      </w:r>
    </w:p>
    <w:p>
      <w:pPr>
        <w:pStyle w:val="ListParagraph"/>
        <w:numPr>
          <w:ilvl w:val="0"/>
          <w:numId w:val="2"/>
        </w:numPr>
      </w:pPr>
      <w:r>
        <w:rPr>
          <w:b/>
          <w:bCs/>
        </w:rPr>
        <w:t xml:space="preserve">Qualified lead pass-through: </w:t>
      </w:r>
      <w:r>
        <w:t xml:space="preserve">Increased 40% due to consistent qualification criteria.</w:t>
      </w:r>
    </w:p>
    <w:p>
      <w:r>
        <w:br w:type="page"/>
      </w:r>
    </w:p>
    <w:p>
      <w:pPr>
        <w:pStyle w:val="Heading2"/>
      </w:pPr>
      <w:r>
        <w:t xml:space="preserve">PROJECT C: MULTI-GPU VIDEO ENGINE</w:t>
      </w:r>
    </w:p>
    <w:p>
      <w:pPr>
        <w:spacing w:after="100"/>
      </w:pPr>
      <w:r>
        <w:rPr>
          <w:b/>
          <w:bCs/>
          <w:color w:val="0F172A"/>
        </w:rPr>
        <w:t xml:space="preserve">THE CHALLENGE:</w:t>
      </w:r>
    </w:p>
    <w:p>
      <w:pPr>
        <w:spacing w:after="200"/>
      </w:pPr>
      <w:r>
        <w:t xml:space="preserve">Media production company needed 100+ short-form videos monthly for social campaigns. External video API costs: $15 per generation. Rate limits capped output at 50 videos/day. Client data (brand assets, product footage) could not be sent to third-party APIs due to NDA restrictions.</w:t>
      </w:r>
    </w:p>
    <w:p>
      <w:pPr>
        <w:spacing w:after="100"/>
      </w:pPr>
      <w:r>
        <w:rPr>
          <w:b/>
          <w:bCs/>
          <w:color w:val="0F172A"/>
        </w:rPr>
        <w:t xml:space="preserve">THE TECHNICAL SOLUTION:</w:t>
      </w:r>
    </w:p>
    <w:p>
      <w:pPr>
        <w:pStyle w:val="ListParagraph"/>
        <w:numPr>
          <w:ilvl w:val="0"/>
          <w:numId w:val="5"/>
        </w:numPr>
      </w:pPr>
      <w:r>
        <w:t xml:space="preserve">Architected self-hosted Wan 2.2 deployment across 4x A100 GPUs.</w:t>
      </w:r>
    </w:p>
    <w:p>
      <w:pPr>
        <w:pStyle w:val="ListParagraph"/>
        <w:numPr>
          <w:ilvl w:val="0"/>
          <w:numId w:val="5"/>
        </w:numPr>
      </w:pPr>
      <w:r>
        <w:t xml:space="preserve">Built queuing system for parallel video generation jobs.</w:t>
      </w:r>
    </w:p>
    <w:p>
      <w:pPr>
        <w:pStyle w:val="ListParagraph"/>
        <w:numPr>
          <w:ilvl w:val="0"/>
          <w:numId w:val="5"/>
        </w:numPr>
      </w:pPr>
      <w:r>
        <w:t xml:space="preserve">Integrated with content calendar for automated batch production.</w:t>
      </w:r>
    </w:p>
    <w:p>
      <w:pPr>
        <w:pStyle w:val="ListParagraph"/>
        <w:numPr>
          <w:ilvl w:val="0"/>
          <w:numId w:val="5"/>
        </w:numPr>
      </w:pPr>
      <w:r>
        <w:t xml:space="preserve">Deployed within client's secure infrastructure—zero data egress.</w:t>
      </w:r>
    </w:p>
    <w:p>
      <w:pPr>
        <w:spacing w:before="200" w:after="100"/>
      </w:pPr>
      <w:r>
        <w:rPr>
          <w:b/>
          <w:bCs/>
          <w:color w:val="10B981"/>
        </w:rPr>
        <w:t xml:space="preserve">THE FINANCIAL IMPACT:</w:t>
      </w:r>
    </w:p>
    <w:p>
      <w:pPr>
        <w:pStyle w:val="ListParagraph"/>
        <w:numPr>
          <w:ilvl w:val="0"/>
          <w:numId w:val="2"/>
        </w:numPr>
      </w:pPr>
      <w:r>
        <w:rPr>
          <w:b/>
          <w:bCs/>
        </w:rPr>
        <w:t xml:space="preserve">Per-video cost: </w:t>
      </w:r>
      <w:r>
        <w:t xml:space="preserve">$15/video → $0.40/video. 97% reduction.</w:t>
      </w:r>
    </w:p>
    <w:p>
      <w:pPr>
        <w:pStyle w:val="ListParagraph"/>
        <w:numPr>
          <w:ilvl w:val="0"/>
          <w:numId w:val="2"/>
        </w:numPr>
      </w:pPr>
      <w:r>
        <w:rPr>
          <w:b/>
          <w:bCs/>
        </w:rPr>
        <w:t xml:space="preserve">Daily capacity: </w:t>
      </w:r>
      <w:r>
        <w:t xml:space="preserve">50 videos → 400+ videos. No rate limits.</w:t>
      </w:r>
    </w:p>
    <w:p>
      <w:pPr>
        <w:pStyle w:val="ListParagraph"/>
        <w:numPr>
          <w:ilvl w:val="0"/>
          <w:numId w:val="2"/>
        </w:numPr>
      </w:pPr>
      <w:r>
        <w:rPr>
          <w:b/>
          <w:bCs/>
        </w:rPr>
        <w:t xml:space="preserve">Data sovereignty: </w:t>
      </w:r>
      <w:r>
        <w:t xml:space="preserve">100% of assets remain on-premise. NDA compliance maintained.</w:t>
      </w:r>
    </w:p>
    <w:p>
      <w:pPr>
        <w:pStyle w:val="ListParagraph"/>
        <w:numPr>
          <w:ilvl w:val="0"/>
          <w:numId w:val="2"/>
        </w:numPr>
      </w:pPr>
      <w:r>
        <w:rPr>
          <w:b/>
          <w:bCs/>
        </w:rPr>
        <w:t xml:space="preserve">Break-even: </w:t>
      </w:r>
      <w:r>
        <w:t xml:space="preserve">Infrastructure investment recovered in 4 months.</w:t>
      </w:r>
    </w:p>
    <w:p>
      <w:r>
        <w:br w:type="page"/>
      </w:r>
    </w:p>
    <w:p>
      <w:pPr>
        <w:pStyle w:val="Heading1"/>
      </w:pPr>
      <w:r>
        <w:t xml:space="preserve">V. ENGAGEMENT MODEL</w:t>
      </w:r>
    </w:p>
    <w:p>
      <w:pPr>
        <w:spacing w:after="300"/>
      </w:pPr>
      <w:r>
        <w:t xml:space="preserve">Duodriven operates as an embedded growth engineering partner, not a vendor. Our engagement structure reflects this philosophy: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2E8F0" w:sz="1"/>
              <w:left w:val="single" w:color="E2E8F0" w:sz="1"/>
              <w:bottom w:val="single" w:color="E2E8F0" w:sz="1"/>
              <w:right w:val="single" w:color="E2E8F0" w:sz="1"/>
            </w:tcBorders>
            <w:shd w:fill="0F172A" w:val="clear"/>
          </w:tcPr>
          <w:p>
            <w:r>
              <w:rPr>
                <w:b/>
                <w:bCs/>
                <w:color w:val="FFFFFF"/>
                <w:sz w:val="20"/>
                <w:szCs w:val="20"/>
              </w:rPr>
              <w:t xml:space="preserve">TIER</w:t>
            </w:r>
          </w:p>
        </w:tc>
        <w:tc>
          <w:tcPr>
            <w:tcW w:type="dxa" w:w="3000"/>
            <w:tcBorders>
              <w:top w:val="single" w:color="E2E8F0" w:sz="1"/>
              <w:left w:val="single" w:color="E2E8F0" w:sz="1"/>
              <w:bottom w:val="single" w:color="E2E8F0" w:sz="1"/>
              <w:right w:val="single" w:color="E2E8F0" w:sz="1"/>
            </w:tcBorders>
            <w:shd w:fill="0F172A" w:val="clear"/>
          </w:tcPr>
          <w:p>
            <w:r>
              <w:rPr>
                <w:b/>
                <w:bCs/>
                <w:color w:val="FFFFFF"/>
                <w:sz w:val="20"/>
                <w:szCs w:val="20"/>
              </w:rPr>
              <w:t xml:space="preserve">SCOPE</w:t>
            </w:r>
          </w:p>
        </w:tc>
        <w:tc>
          <w:tcPr>
            <w:tcW w:type="dxa" w:w="3860"/>
            <w:tcBorders>
              <w:top w:val="single" w:color="E2E8F0" w:sz="1"/>
              <w:left w:val="single" w:color="E2E8F0" w:sz="1"/>
              <w:bottom w:val="single" w:color="E2E8F0" w:sz="1"/>
              <w:right w:val="single" w:color="E2E8F0" w:sz="1"/>
            </w:tcBorders>
            <w:shd w:fill="0F172A" w:val="clear"/>
          </w:tcPr>
          <w:p>
            <w:r>
              <w:rPr>
                <w:b/>
                <w:bCs/>
                <w:color w:val="FFFFFF"/>
                <w:sz w:val="20"/>
                <w:szCs w:val="20"/>
              </w:rPr>
              <w:t xml:space="preserve">IDEAL FOR</w:t>
            </w:r>
          </w:p>
        </w:tc>
      </w:tr>
      <w:tr>
        <w:tc>
          <w:tcPr>
            <w:tcW w:type="dxa" w:w="2500"/>
            <w:tcBorders>
              <w:top w:val="single" w:color="E2E8F0" w:sz="1"/>
              <w:left w:val="single" w:color="E2E8F0" w:sz="1"/>
              <w:bottom w:val="single" w:color="E2E8F0" w:sz="1"/>
              <w:right w:val="single" w:color="E2E8F0" w:sz="1"/>
            </w:tcBorders>
          </w:tcPr>
          <w:p>
            <w:r>
              <w:rPr>
                <w:b/>
                <w:bCs/>
                <w:sz w:val="20"/>
                <w:szCs w:val="20"/>
              </w:rPr>
              <w:t xml:space="preserve">FOUNDATION</w:t>
            </w:r>
          </w:p>
        </w:tc>
        <w:tc>
          <w:tcPr>
            <w:tcW w:type="dxa" w:w="3000"/>
            <w:tcBorders>
              <w:top w:val="single" w:color="E2E8F0" w:sz="1"/>
              <w:left w:val="single" w:color="E2E8F0" w:sz="1"/>
              <w:bottom w:val="single" w:color="E2E8F0" w:sz="1"/>
              <w:right w:val="single" w:color="E2E8F0" w:sz="1"/>
            </w:tcBorders>
          </w:tcPr>
          <w:p>
            <w:r>
              <w:rPr>
                <w:sz w:val="20"/>
                <w:szCs w:val="20"/>
              </w:rPr>
              <w:t xml:space="preserve">Growth Infrastructure (Vertical A)</w:t>
            </w:r>
          </w:p>
        </w:tc>
        <w:tc>
          <w:tcPr>
            <w:tcW w:type="dxa" w:w="3860"/>
            <w:tcBorders>
              <w:top w:val="single" w:color="E2E8F0" w:sz="1"/>
              <w:left w:val="single" w:color="E2E8F0" w:sz="1"/>
              <w:bottom w:val="single" w:color="E2E8F0" w:sz="1"/>
              <w:right w:val="single" w:color="E2E8F0" w:sz="1"/>
            </w:tcBorders>
          </w:tcPr>
          <w:p>
            <w:r>
              <w:rPr>
                <w:sz w:val="20"/>
                <w:szCs w:val="20"/>
              </w:rPr>
              <w:t xml:space="preserve">Companies seeking best-in-class marketing execution with modern measurement.</w:t>
            </w:r>
          </w:p>
        </w:tc>
      </w:tr>
      <w:tr>
        <w:tc>
          <w:tcPr>
            <w:tcW w:type="dxa" w:w="2500"/>
            <w:tcBorders>
              <w:top w:val="single" w:color="E2E8F0" w:sz="1"/>
              <w:left w:val="single" w:color="E2E8F0" w:sz="1"/>
              <w:bottom w:val="single" w:color="E2E8F0" w:sz="1"/>
              <w:right w:val="single" w:color="E2E8F0" w:sz="1"/>
            </w:tcBorders>
          </w:tcPr>
          <w:p>
            <w:r>
              <w:rPr>
                <w:b/>
                <w:bCs/>
                <w:sz w:val="20"/>
                <w:szCs w:val="20"/>
              </w:rPr>
              <w:t xml:space="preserve">ACCELERATION</w:t>
            </w:r>
          </w:p>
        </w:tc>
        <w:tc>
          <w:tcPr>
            <w:tcW w:type="dxa" w:w="3000"/>
            <w:tcBorders>
              <w:top w:val="single" w:color="E2E8F0" w:sz="1"/>
              <w:left w:val="single" w:color="E2E8F0" w:sz="1"/>
              <w:bottom w:val="single" w:color="E2E8F0" w:sz="1"/>
              <w:right w:val="single" w:color="E2E8F0" w:sz="1"/>
            </w:tcBorders>
          </w:tcPr>
          <w:p>
            <w:r>
              <w:rPr>
                <w:sz w:val="20"/>
                <w:szCs w:val="20"/>
              </w:rPr>
              <w:t xml:space="preserve">Foundation + Autonomous Operations (Vertical B)</w:t>
            </w:r>
          </w:p>
        </w:tc>
        <w:tc>
          <w:tcPr>
            <w:tcW w:type="dxa" w:w="3860"/>
            <w:tcBorders>
              <w:top w:val="single" w:color="E2E8F0" w:sz="1"/>
              <w:left w:val="single" w:color="E2E8F0" w:sz="1"/>
              <w:bottom w:val="single" w:color="E2E8F0" w:sz="1"/>
              <w:right w:val="single" w:color="E2E8F0" w:sz="1"/>
            </w:tcBorders>
          </w:tcPr>
          <w:p>
            <w:r>
              <w:rPr>
                <w:sz w:val="20"/>
                <w:szCs w:val="20"/>
              </w:rPr>
              <w:t xml:space="preserve">Companies ready to remove humans from repetitive workflows.</w:t>
            </w:r>
          </w:p>
        </w:tc>
      </w:tr>
      <w:tr>
        <w:tc>
          <w:tcPr>
            <w:tcW w:type="dxa" w:w="2500"/>
            <w:tcBorders>
              <w:top w:val="single" w:color="E2E8F0" w:sz="1"/>
              <w:left w:val="single" w:color="E2E8F0" w:sz="1"/>
              <w:bottom w:val="single" w:color="E2E8F0" w:sz="1"/>
              <w:right w:val="single" w:color="E2E8F0" w:sz="1"/>
            </w:tcBorders>
          </w:tcPr>
          <w:p>
            <w:r>
              <w:rPr>
                <w:b/>
                <w:bCs/>
                <w:sz w:val="20"/>
                <w:szCs w:val="20"/>
              </w:rPr>
              <w:t xml:space="preserve">TRANSFORMATION</w:t>
            </w:r>
          </w:p>
        </w:tc>
        <w:tc>
          <w:tcPr>
            <w:tcW w:type="dxa" w:w="3000"/>
            <w:tcBorders>
              <w:top w:val="single" w:color="E2E8F0" w:sz="1"/>
              <w:left w:val="single" w:color="E2E8F0" w:sz="1"/>
              <w:bottom w:val="single" w:color="E2E8F0" w:sz="1"/>
              <w:right w:val="single" w:color="E2E8F0" w:sz="1"/>
            </w:tcBorders>
          </w:tcPr>
          <w:p>
            <w:r>
              <w:rPr>
                <w:sz w:val="20"/>
                <w:szCs w:val="20"/>
              </w:rPr>
              <w:t xml:space="preserve">Full Stack (All Verticals + Innovation Layer)</w:t>
            </w:r>
          </w:p>
        </w:tc>
        <w:tc>
          <w:tcPr>
            <w:tcW w:type="dxa" w:w="3860"/>
            <w:tcBorders>
              <w:top w:val="single" w:color="E2E8F0" w:sz="1"/>
              <w:left w:val="single" w:color="E2E8F0" w:sz="1"/>
              <w:bottom w:val="single" w:color="E2E8F0" w:sz="1"/>
              <w:right w:val="single" w:color="E2E8F0" w:sz="1"/>
            </w:tcBorders>
          </w:tcPr>
          <w:p>
            <w:r>
              <w:rPr>
                <w:sz w:val="20"/>
                <w:szCs w:val="20"/>
              </w:rPr>
              <w:t xml:space="preserve">Enterprises building proprietary AI infrastructure as competitive moat.</w:t>
            </w:r>
          </w:p>
        </w:tc>
      </w:tr>
    </w:tbl>
    <w:p>
      <w:pPr>
        <w:pStyle w:val="Quote"/>
        <w:spacing w:before="600"/>
      </w:pPr>
      <w:r>
        <w:t xml:space="preserve">The future belongs to organizations that treat AI not as a tool to be operated, but as infrastructure to be architected.</w:t>
      </w:r>
    </w:p>
    <w:p>
      <w:pPr>
        <w:spacing w:before="400"/>
        <w:jc w:val="center"/>
      </w:pPr>
      <w:r>
        <w:rPr>
          <w:b/>
          <w:bCs/>
          <w:color w:val="0F172A"/>
          <w:sz w:val="28"/>
          <w:szCs w:val="28"/>
        </w:rPr>
        <w:t xml:space="preserve">Ready to engineer your growth?</w:t>
      </w:r>
    </w:p>
    <w:p>
      <w:pPr>
        <w:spacing w:after="100"/>
        <w:jc w:val="center"/>
      </w:pPr>
      <w:r>
        <w:rPr>
          <w:color w:val="3B82F6"/>
          <w:sz w:val="24"/>
          <w:szCs w:val="24"/>
        </w:rPr>
        <w:t xml:space="preserve">hello@duodriven.com | duodriven.com</w:t>
      </w:r>
    </w:p>
    <w:p>
      <w:pPr>
        <w:spacing w:before="800"/>
        <w:jc w:val="center"/>
      </w:pPr>
      <w:r>
        <w:rPr>
          <w:color w:val="64748B"/>
          <w:sz w:val="24"/>
          <w:szCs w:val="24"/>
        </w:rPr>
        <w:t xml:space="preserve">—</w:t>
      </w:r>
    </w:p>
    <w:p>
      <w:pPr>
        <w:jc w:val="center"/>
      </w:pPr>
      <w:r>
        <w:rPr>
          <w:b/>
          <w:bCs/>
          <w:color w:val="0F172A"/>
          <w:sz w:val="28"/>
          <w:szCs w:val="28"/>
        </w:rPr>
        <w:t xml:space="preserve">DUODRIVEN</w:t>
      </w:r>
    </w:p>
    <w:p>
      <w:pPr>
        <w:jc w:val="center"/>
      </w:pPr>
      <w:r>
        <w:rPr>
          <w:i/>
          <w:iCs/>
          <w:color w:val="64748B"/>
          <w:sz w:val="22"/>
          <w:szCs w:val="22"/>
        </w:rPr>
        <w:t xml:space="preserve">Full-Stack Growth Engineering</w:t>
      </w:r>
    </w:p>
    <w:p>
      <w:pPr>
        <w:jc w:val="center"/>
      </w:pPr>
      <w:r>
        <w:rPr>
          <w:color w:val="64748B"/>
          <w:sz w:val="18"/>
          <w:szCs w:val="18"/>
        </w:rPr>
        <w:t xml:space="preserve">Autonomous Revenue Systems | Proprietary Neural Networks | Category of One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DUODRIVEN | Core Capabilities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F172A"/>
      <w:sz w:val="72"/>
      <w:szCs w:val="72"/>
    </w:rPr>
  </w:style>
  <w:style w:type="paragraph" w:styleId="Heading1">
    <w:name w:val="Heading 1"/>
    <w:basedOn w:val="Normal"/>
    <w:next w:val="Normal"/>
    <w:qFormat/>
    <w:pPr>
      <w:spacing w:before="40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415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B82F6"/>
      <w:sz w:val="24"/>
      <w:szCs w:val="24"/>
    </w:rPr>
  </w:style>
  <w:style w:type="paragraph" w:styleId="Subtitle">
    <w:name w:val="Subtitle"/>
    <w:basedOn w:val="Normal"/>
    <w:pPr>
      <w:spacing w:before="0" w:after="400"/>
      <w:jc w:val="center"/>
    </w:pPr>
    <w:rPr>
      <w:rFonts w:ascii="Arial" w:cs="Arial" w:eastAsia="Arial" w:hAnsi="Arial"/>
      <w:i/>
      <w:iCs/>
      <w:color w:val="64748B"/>
      <w:sz w:val="28"/>
      <w:szCs w:val="28"/>
    </w:rPr>
  </w:style>
  <w:style w:type="paragraph" w:styleId="Quote">
    <w:name w:val="Quote"/>
    <w:basedOn w:val="Normal"/>
    <w:pPr>
      <w:spacing w:before="300" w:after="300"/>
      <w:ind w:left="720" w:right="720"/>
      <w:jc w:val="center"/>
    </w:pPr>
    <w:rPr>
      <w:rFonts w:ascii="Georgia" w:cs="Georgia" w:eastAsia="Georgia" w:hAnsi="Georgia"/>
      <w:i/>
      <w:i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2025-12-19T15:27:56.928Z</dcterms:created>
  <dcterms:modified xsi:type="dcterms:W3CDTF">2025-12-19T15:27:56.929Z</dcterms:modified>
</cp:coreProperties>
</file>

<file path=docProps/custom.xml><?xml version="1.0" encoding="utf-8"?>
<Properties xmlns="http://schemas.openxmlformats.org/officeDocument/2006/custom-properties" xmlns:vt="http://schemas.openxmlformats.org/officeDocument/2006/docPropsVTypes"/>
</file>