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1º DAW B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Actividad 12.1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18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both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6"/>
        <w:rPr/>
      </w:pPr>
      <w:bookmarkStart w:colFirst="0" w:colLast="0" w:name="_730u6lo2pt5f" w:id="4"/>
      <w:bookmarkEnd w:id="4"/>
      <w:r w:rsidDel="00000000" w:rsidR="00000000" w:rsidRPr="00000000">
        <w:rPr>
          <w:rtl w:val="0"/>
        </w:rPr>
        <w:t xml:space="preserve">1. Probar una consulta que nos muestre el total de parados por provincia para el mes de enero. Sacará también el nombre de la Comunidad autónoma.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46482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rPr/>
      </w:pPr>
      <w:bookmarkStart w:colFirst="0" w:colLast="0" w:name="_ndf9orwhr4hs" w:id="5"/>
      <w:bookmarkEnd w:id="5"/>
      <w:r w:rsidDel="00000000" w:rsidR="00000000" w:rsidRPr="00000000">
        <w:rPr>
          <w:rtl w:val="0"/>
        </w:rPr>
        <w:t xml:space="preserve"> 2. Crear una vista basada en esa consulta. (ver_paro_provincia)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441007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rPr/>
      </w:pPr>
      <w:bookmarkStart w:colFirst="0" w:colLast="0" w:name="_92ezc0ntl3xi" w:id="6"/>
      <w:bookmarkEnd w:id="6"/>
      <w:r w:rsidDel="00000000" w:rsidR="00000000" w:rsidRPr="00000000">
        <w:rPr>
          <w:rtl w:val="0"/>
        </w:rPr>
        <w:t xml:space="preserve">3. Usar la vista sacando todos sus datos.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4267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6"/>
        <w:rPr/>
      </w:pPr>
      <w:bookmarkStart w:colFirst="0" w:colLast="0" w:name="_uuj5xe4y6ehp" w:id="7"/>
      <w:bookmarkEnd w:id="7"/>
      <w:r w:rsidDel="00000000" w:rsidR="00000000" w:rsidRPr="00000000">
        <w:rPr>
          <w:rtl w:val="0"/>
        </w:rPr>
        <w:t xml:space="preserve">4. Usar la vista para sacar la suma de parados por Comunidad Autónoma.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445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6"/>
        <w:rPr/>
      </w:pPr>
      <w:bookmarkStart w:colFirst="0" w:colLast="0" w:name="_6ilyuohqj0rd" w:id="8"/>
      <w:bookmarkEnd w:id="8"/>
      <w:r w:rsidDel="00000000" w:rsidR="00000000" w:rsidRPr="00000000">
        <w:rPr>
          <w:rtl w:val="0"/>
        </w:rPr>
        <w:t xml:space="preserve"> 5. Crear una vista sobre la tabla ComunidadesAutonomas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16383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6"/>
        <w:rPr/>
      </w:pPr>
      <w:bookmarkStart w:colFirst="0" w:colLast="0" w:name="_p3zvyfqyh38i" w:id="9"/>
      <w:bookmarkEnd w:id="9"/>
      <w:r w:rsidDel="00000000" w:rsidR="00000000" w:rsidRPr="00000000">
        <w:rPr>
          <w:rtl w:val="0"/>
        </w:rPr>
        <w:t xml:space="preserve">6. Ver los datos que contiene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4162425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6"/>
        <w:rPr/>
      </w:pPr>
      <w:bookmarkStart w:colFirst="0" w:colLast="0" w:name="_otihlybo7uum" w:id="10"/>
      <w:bookmarkEnd w:id="10"/>
      <w:r w:rsidDel="00000000" w:rsidR="00000000" w:rsidRPr="00000000">
        <w:rPr>
          <w:rtl w:val="0"/>
        </w:rPr>
        <w:t xml:space="preserve">7. Borrar la vista anterior comprobando que existe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229552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rPr/>
      </w:pPr>
      <w:bookmarkStart w:colFirst="0" w:colLast="0" w:name="_ae587jg73mdc" w:id="11"/>
      <w:bookmarkEnd w:id="11"/>
      <w:r w:rsidDel="00000000" w:rsidR="00000000" w:rsidRPr="00000000">
        <w:rPr>
          <w:rtl w:val="0"/>
        </w:rPr>
        <w:t xml:space="preserve"> 8. Mostrar la estructura de la vista ver_paro_provincia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40481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rPr/>
      </w:pPr>
      <w:bookmarkStart w:colFirst="0" w:colLast="0" w:name="_o730mrhw3cg7" w:id="12"/>
      <w:bookmarkEnd w:id="12"/>
      <w:r w:rsidDel="00000000" w:rsidR="00000000" w:rsidRPr="00000000">
        <w:rPr>
          <w:rtl w:val="0"/>
        </w:rPr>
        <w:t xml:space="preserve"> 9. Crear de nuevo la vista pero encriptada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387667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6"/>
        <w:rPr/>
      </w:pPr>
      <w:bookmarkStart w:colFirst="0" w:colLast="0" w:name="_4hjb719x90q" w:id="13"/>
      <w:bookmarkEnd w:id="13"/>
      <w:r w:rsidDel="00000000" w:rsidR="00000000" w:rsidRPr="00000000">
        <w:rPr>
          <w:rtl w:val="0"/>
        </w:rPr>
        <w:t xml:space="preserve">10. Comprobar que no se puede ver su estructura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2247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rPr/>
      </w:pPr>
      <w:bookmarkStart w:colFirst="0" w:colLast="0" w:name="_qbbn5r9v68z4" w:id="14"/>
      <w:bookmarkEnd w:id="14"/>
      <w:r w:rsidDel="00000000" w:rsidR="00000000" w:rsidRPr="00000000">
        <w:rPr>
          <w:rtl w:val="0"/>
        </w:rPr>
        <w:t xml:space="preserve">11. Actualizar el nombre de una Comunidad Autónoma a través de la vista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6"/>
        <w:rPr/>
      </w:pPr>
      <w:bookmarkStart w:colFirst="0" w:colLast="0" w:name="_lsunesupauz1" w:id="15"/>
      <w:bookmarkEnd w:id="15"/>
      <w:r w:rsidDel="00000000" w:rsidR="00000000" w:rsidRPr="00000000">
        <w:rPr>
          <w:rtl w:val="0"/>
        </w:rPr>
        <w:t xml:space="preserve"> 12. Intentar una inserción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6"/>
        <w:rPr/>
      </w:pPr>
      <w:bookmarkStart w:colFirst="0" w:colLast="0" w:name="_82uyop5ynaja" w:id="16"/>
      <w:bookmarkEnd w:id="16"/>
      <w:r w:rsidDel="00000000" w:rsidR="00000000" w:rsidRPr="00000000">
        <w:rPr>
          <w:rtl w:val="0"/>
        </w:rPr>
        <w:t xml:space="preserve"> 13. Crear una vista que acceda a las Comunidades autónomas solamente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15144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6"/>
        <w:rPr/>
      </w:pPr>
      <w:bookmarkStart w:colFirst="0" w:colLast="0" w:name="_g16o00qzv1pc" w:id="17"/>
      <w:bookmarkEnd w:id="17"/>
      <w:r w:rsidDel="00000000" w:rsidR="00000000" w:rsidRPr="00000000">
        <w:rPr>
          <w:rtl w:val="0"/>
        </w:rPr>
        <w:t xml:space="preserve">14. Hacer una inserción correcta sobre esa vista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2954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6"/>
        <w:rPr/>
      </w:pPr>
      <w:bookmarkStart w:colFirst="0" w:colLast="0" w:name="_c59211c1at89" w:id="18"/>
      <w:bookmarkEnd w:id="18"/>
      <w:r w:rsidDel="00000000" w:rsidR="00000000" w:rsidRPr="00000000">
        <w:rPr>
          <w:rtl w:val="0"/>
        </w:rPr>
        <w:t xml:space="preserve"> 15. Borrar el registro creado anteriormente, usando también la vista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6"/>
        <w:rPr/>
      </w:pPr>
      <w:bookmarkStart w:colFirst="0" w:colLast="0" w:name="_cbqtyyywwptr" w:id="19"/>
      <w:bookmarkEnd w:id="19"/>
      <w:r w:rsidDel="00000000" w:rsidR="00000000" w:rsidRPr="00000000">
        <w:rPr>
          <w:rtl w:val="0"/>
        </w:rPr>
        <w:t xml:space="preserve">16. Crear una vista que muestre sólo las Comunidades autónomas que comiencen con C y con la opción with check option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295275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6"/>
        <w:rPr/>
      </w:pPr>
      <w:bookmarkStart w:colFirst="0" w:colLast="0" w:name="_gja9ivwz9mel" w:id="20"/>
      <w:bookmarkEnd w:id="20"/>
      <w:r w:rsidDel="00000000" w:rsidR="00000000" w:rsidRPr="00000000">
        <w:rPr>
          <w:rtl w:val="0"/>
        </w:rPr>
        <w:t xml:space="preserve">17. Probar inserciones y modificaciones que validen el funcionamiento de la opción aplicada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7429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6"/>
        <w:rPr/>
      </w:pPr>
      <w:bookmarkStart w:colFirst="0" w:colLast="0" w:name="_gtumiofh0xv5" w:id="21"/>
      <w:bookmarkEnd w:id="21"/>
      <w:r w:rsidDel="00000000" w:rsidR="00000000" w:rsidRPr="00000000">
        <w:rPr>
          <w:rtl w:val="0"/>
        </w:rPr>
        <w:t xml:space="preserve">18. Modificar la vista anterior filtrando a comunidades autónomas que comiencen por 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footerReference r:id="rId29" w:type="first"/>
      <w:footerReference r:id="rId3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Alejandro Afonso Barber</w:t>
    </w:r>
  </w:p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5.png"/>
          <a:graphic>
            <a:graphicData uri="http://schemas.openxmlformats.org/drawingml/2006/picture">
              <pic:pic>
                <pic:nvPicPr>
                  <pic:cNvPr descr="línea horizontal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  <w:t xml:space="preserve">Alejandro Afonso Barber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20" name="image10.png"/>
          <a:graphic>
            <a:graphicData uri="http://schemas.openxmlformats.org/drawingml/2006/picture">
              <pic:pic>
                <pic:nvPicPr>
                  <pic:cNvPr descr="línea horizontal"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3"/>
    <w:bookmarkEnd w:id="2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22"/>
    <w:bookmarkEnd w:id="2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7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4.png"/><Relationship Id="rId21" Type="http://schemas.openxmlformats.org/officeDocument/2006/relationships/image" Target="media/image21.png"/><Relationship Id="rId24" Type="http://schemas.openxmlformats.org/officeDocument/2006/relationships/image" Target="media/image1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9.png"/><Relationship Id="rId25" Type="http://schemas.openxmlformats.org/officeDocument/2006/relationships/image" Target="media/image12.png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11.png"/><Relationship Id="rId3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5" Type="http://schemas.openxmlformats.org/officeDocument/2006/relationships/image" Target="media/image16.png"/><Relationship Id="rId14" Type="http://schemas.openxmlformats.org/officeDocument/2006/relationships/image" Target="media/image23.png"/><Relationship Id="rId17" Type="http://schemas.openxmlformats.org/officeDocument/2006/relationships/image" Target="media/image14.png"/><Relationship Id="rId16" Type="http://schemas.openxmlformats.org/officeDocument/2006/relationships/image" Target="media/image22.png"/><Relationship Id="rId19" Type="http://schemas.openxmlformats.org/officeDocument/2006/relationships/image" Target="media/image4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