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mbria" w:hAnsi="Cambria"/>
          <w:b/>
          <w:color w:val="1A1A2E"/>
          <w:sz w:val="48"/>
        </w:rPr>
        <w:t>RFP Analysis Report</w:t>
      </w:r>
    </w:p>
    <w:p>
      <w:pPr>
        <w:jc w:val="center"/>
      </w:pPr>
      <w:r>
        <w:rPr>
          <w:rFonts w:ascii="Calibri" w:hAnsi="Calibri"/>
          <w:color w:val="555555"/>
          <w:sz w:val="24"/>
        </w:rPr>
        <w:t>AI-Generated Executive Analysis</w:t>
      </w:r>
    </w:p>
    <w:p>
      <w:pPr>
        <w:jc w:val="center"/>
      </w:pPr>
      <w:r>
        <w:rPr>
          <w:rFonts w:ascii="Calibri" w:hAnsi="Calibri"/>
          <w:color w:val="888888"/>
          <w:sz w:val="20"/>
        </w:rPr>
        <w:t>Generated: June 17, 2026</w:t>
      </w:r>
    </w:p>
    <w:p/>
    <w:p>
      <w:pPr>
        <w:pStyle w:val="Heading2"/>
      </w:pPr>
      <w:r>
        <w:rPr>
          <w:rFonts w:ascii="Cambria" w:hAnsi="Cambria"/>
          <w:b/>
          <w:color w:val="1A1A2E"/>
          <w:sz w:val="28"/>
        </w:rPr>
        <w:t>Executive Summary</w:t>
      </w:r>
    </w:p>
    <w:p>
      <w:pPr>
        <w:jc w:val="both"/>
      </w:pPr>
      <w:r>
        <w:rPr>
          <w:rFonts w:ascii="Calibri" w:hAnsi="Calibri"/>
          <w:sz w:val="22"/>
        </w:rPr>
        <w:t>Executive Summary</w:t>
        <w:br/>
        <w:br/>
        <w:t>• Provide a detailed overview of the solicitation</w:t>
        <w:br/>
        <w:t xml:space="preserve">  • IFB # 26-033 for Unarmed Security Guard Services, issued by the City of Miramar. Date issued June 4, 2026. Public opening (bid opening) scheduled July 2, 2026 at 2:00 PM EST. Solicitation package available from Demandstar.com and the City’s Procurement Department.</w:t>
        <w:br/>
        <w:br/>
        <w:t>• Explain the purpose of the procurement</w:t>
        <w:br/>
        <w:t xml:space="preserve">  • To procure unarmed security guard services for the City of Miramar (title and section references to Scope of Services are included in the Solicitation).</w:t>
        <w:br/>
        <w:br/>
        <w:t>• Describe what the agency is seeking</w:t>
        <w:br/>
        <w:t xml:space="preserve">  • Vendors to provide unarmed security guard services as described in Section 3 (Scope of Services). Specific locations and further scope details are referenced in Section 3-1 and Section 3-1A.</w:t>
        <w:br/>
        <w:br/>
        <w:t>• Highlight major requirements and expectations</w:t>
        <w:br/>
        <w:t xml:space="preserve">  • All bids must be submitted electronically via Demandstar.com (no in-person, courier, fax or telegraphic submissions). Bids must be on replica 8 ½” x 11” paper, neatly typed. Required forms must be completed and notarized where necessary and signed by an authorized officer. The bid cover must include bidder name, return address, telephone number, solicitation number, solicitation due date/time and solicitation title. Bidders who fail to include required cover information may be deemed non-responsive and have no grounds to protest. The City is not responsible for computer malfunctions; late bids will not be opened or considered. Cone of Silence restrictions apply per City Code.</w:t>
        <w:br/>
        <w:br/>
        <w:t>Solicitation Overview</w:t>
        <w:br/>
        <w:br/>
        <w:t>• Solicitation Type</w:t>
        <w:br/>
        <w:t xml:space="preserve">  • Invitation for Bids (IFB)</w:t>
        <w:br/>
        <w:br/>
        <w:t>• Solicitation Number</w:t>
        <w:br/>
        <w:t xml:space="preserve">  • IFB # 26-033</w:t>
        <w:br/>
        <w:br/>
        <w:t>• Agency</w:t>
        <w:br/>
        <w:t xml:space="preserve">  • City of Miramar, Florida</w:t>
        <w:br/>
        <w:br/>
        <w:t>• Submission Deadline</w:t>
        <w:br/>
        <w:t xml:space="preserve">  • July 2, 2026 at 2:00 PM EST (Bids Due)</w:t>
        <w:br/>
        <w:br/>
        <w:t>• Contract Term</w:t>
        <w:br/>
        <w:t xml:space="preserve">  • Not specified in the RFP</w:t>
        <w:br/>
        <w:br/>
        <w:t>Scope of Work</w:t>
        <w:br/>
        <w:br/>
        <w:t>• Major services requested</w:t>
        <w:br/>
        <w:t xml:space="preserve">  • Unarmed security guard services (referenced as the central Scope of Services, Section 3-1).</w:t>
        <w:br/>
        <w:br/>
        <w:t>• Deliverables required</w:t>
        <w:br/>
        <w:t xml:space="preserve">  • Not specified in the RFP</w:t>
        <w:br/>
        <w:br/>
        <w:t>• Objectives of the project</w:t>
        <w:br/>
        <w:t xml:space="preserve">  • Not specified in the RFP</w:t>
        <w:br/>
        <w:br/>
        <w:t>Submission Requirements</w:t>
        <w:br/>
        <w:br/>
        <w:t>• Submission method</w:t>
        <w:br/>
        <w:t xml:space="preserve">  • Mandatory electronic submission via Demandstar.com. Bids will not be accepted personally or by delivery carrier. Telegraphic or facsimile bids will not be considered.</w:t>
        <w:br/>
        <w:br/>
        <w:t>• Submission location</w:t>
        <w:br/>
        <w:t xml:space="preserve">  • Demandstar.com</w:t>
        <w:br/>
        <w:br/>
        <w:t>• Required formats</w:t>
        <w:br/>
        <w:t xml:space="preserve">  • Replica 8 ½” by 11” paper, neatly typed with normal margins and spacing. All required forms must be completed and notarized where necessary. Bids must be signed by an authorized officer of the bidder.</w:t>
        <w:br/>
        <w:br/>
        <w:t>• Important submission instructions</w:t>
        <w:br/>
        <w:t xml:space="preserve">  • Cover page must clearly include bidder name, return address, telephone number, solicitation number, solicitation due date and time, and title of the solicitation. Failure to include required cover information may result in being deemed non-responsive and no grounds for protest. The City is not responsible for delays caused by computer malfunctions. Any bid received after the due date/time will not be opened or considered. Bids must remain open for 180 days from the due date/time (see Contract Terms).</w:t>
        <w:br/>
        <w:br/>
        <w:t>Mandatory Forms</w:t>
        <w:br/>
        <w:br/>
        <w:t>• List all required forms</w:t>
        <w:br/>
        <w:t xml:space="preserve">  • Not specified in the RFP (Section 4 referenced for Forms and Affidavits, but specific form names/list are not provided in the provided pages). Note: required forms must be completed and notarized where necessary.</w:t>
        <w:br/>
        <w:br/>
        <w:t>Evaluation Criteria</w:t>
        <w:br/>
        <w:br/>
        <w:t>• List evaluation criteria and weights if available</w:t>
        <w:br/>
        <w:t xml:space="preserve">  • Not specified in the RFP (Section 1-13 referenced but evaluation criteria and weights are not provided in the provided pages).</w:t>
        <w:br/>
        <w:br/>
        <w:t>Insurance Requirements</w:t>
        <w:br/>
        <w:br/>
        <w:t>• Required insurance coverages</w:t>
        <w:br/>
        <w:t xml:space="preserve">  • Not specified in the RFP (Section 2-7 referenced but coverage types not detailed in provided pages).</w:t>
        <w:br/>
        <w:br/>
        <w:t>• Coverage limits</w:t>
        <w:br/>
        <w:t xml:space="preserve">  • Not specified in the RFP</w:t>
        <w:br/>
        <w:br/>
        <w:t>Bond Requirements</w:t>
        <w:br/>
        <w:br/>
        <w:t>• Bid bonds</w:t>
        <w:br/>
        <w:t xml:space="preserve">  • Not specified in the RFP</w:t>
        <w:br/>
        <w:br/>
        <w:t>• Performance bonds</w:t>
        <w:br/>
        <w:t xml:space="preserve">  • Performance Bond is referenced (Section 2-8), but coverage limits or specific performance bond requirements are not specified in the provided pages.</w:t>
        <w:br/>
        <w:br/>
        <w:t>• Payment bonds</w:t>
        <w:br/>
        <w:t xml:space="preserve">  • Not specified in the RFP</w:t>
        <w:br/>
        <w:br/>
        <w:t>Licensing Requirements</w:t>
        <w:br/>
        <w:br/>
        <w:t>• Professional licenses</w:t>
        <w:br/>
        <w:t xml:space="preserve">  • Not specified in the RFP</w:t>
        <w:br/>
        <w:br/>
        <w:t>• Certifications</w:t>
        <w:br/>
        <w:t xml:space="preserve">  • Not specified in the RFP</w:t>
        <w:br/>
        <w:br/>
        <w:t>• Registrations</w:t>
        <w:br/>
        <w:t xml:space="preserve">  • Vendor registration with Demandstar is optional. For CBE/SBE designation, a Broward County Business Tax Receipt and certification by the Broward County Office of Economic Development and Small Business Development are required (definition provided).</w:t>
        <w:br/>
        <w:br/>
        <w:t>Subcontractor Requirements</w:t>
        <w:br/>
        <w:br/>
        <w:t>• Small business requirements</w:t>
        <w:br/>
        <w:t xml:space="preserve">  • Definition of CBE or SBE Firm provided: must have a Broward County Business Tax Receipt; be located and doing business in Broward County; and be certified by the Broward County Office of Economic Development and Small Business Development.</w:t>
        <w:br/>
        <w:br/>
        <w:t>• MBE/WBE requirements</w:t>
        <w:br/>
        <w:t xml:space="preserve">  • Not specified in the RFP</w:t>
        <w:br/>
        <w:br/>
        <w:t>• Subcontracting restrictions</w:t>
        <w:br/>
        <w:t xml:space="preserve">  • Not specified in the RFP</w:t>
        <w:br/>
        <w:br/>
        <w:t>• Required listing of subcontractors and suppliers</w:t>
        <w:br/>
        <w:t xml:space="preserve">  • Section 1-18 references a required listing of subcontractors and suppliers, but specific details and requirements are not provided in the supplied pages.</w:t>
        <w:br/>
        <w:br/>
        <w:t>Contract Terms</w:t>
        <w:br/>
        <w:br/>
        <w:t>• Contract duration</w:t>
        <w:br/>
        <w:t xml:space="preserve">  • Not specified in the RFP</w:t>
        <w:br/>
        <w:br/>
        <w:t>• Renewal options</w:t>
        <w:br/>
        <w:t xml:space="preserve">  • Not specified in the RFP</w:t>
        <w:br/>
        <w:br/>
        <w:t>• Termination clauses</w:t>
        <w:br/>
        <w:t xml:space="preserve">  • Not specified in the RFP</w:t>
        <w:br/>
        <w:br/>
        <w:t>• Important contractual obligations</w:t>
        <w:br/>
        <w:t xml:space="preserve">  • No bid response constitutes acceptance until a contract is executed by the successful bidder and the City, and approved and authorized by the City Commission, if applicable. Bids shall be guaranteed to remain open for 180 days from the due date and time.</w:t>
        <w:br/>
        <w:br/>
        <w:t>Compliance Requirements</w:t>
        <w:br/>
        <w:br/>
        <w:t>• Legal requirements</w:t>
        <w:br/>
        <w:t xml:space="preserve">  • Cone of Silence applies pursuant to Sections 2-421 and 2-422 of the City Code of Ordinances (text reference present). Bidders must comply with federal, state and local laws (section referenced).</w:t>
        <w:br/>
        <w:br/>
        <w:t>• Regulatory requirements</w:t>
        <w:br/>
        <w:t xml:space="preserve">  • Not specified in the RFP</w:t>
        <w:br/>
        <w:br/>
        <w:t>• Certifications</w:t>
        <w:br/>
        <w:t xml:space="preserve">  • Not specified in the RFP</w:t>
        <w:br/>
        <w:br/>
        <w:t>• Affidavits</w:t>
        <w:br/>
        <w:t xml:space="preserve">  • Section 4 (Forms and Affidavits) is referenced, specific affidavit requirements are not listed in the provided pages.</w:t>
        <w:br/>
        <w:br/>
        <w:t>Risks and Critical Considerations</w:t>
        <w:br/>
        <w:br/>
        <w:t>• High-risk requirements</w:t>
        <w:br/>
        <w:t xml:space="preserve">  • Strict requirement for electronic submission via Demandstar only; no acceptance of courier, in-person, fax or telegraphic submissions. The City disclaims responsibility for computer malfunctions, creating a risk of late or unaccepted submissions.</w:t>
        <w:br/>
        <w:br/>
        <w:t>• Compliance risks</w:t>
        <w:br/>
        <w:t xml:space="preserve">  • Failure to include the mandatory cover page information may result in a bid being deemed non-responsive with no protest rights. Cone of Silence restrictions may limit communications; bidders who obtain solicitation outside official channels may miss amendments.</w:t>
        <w:br/>
        <w:br/>
        <w:t>• Potential proposal challenges</w:t>
        <w:br/>
        <w:t xml:space="preserve">  • Not specified in the RFP beyond strict submission controls and potential for missed amendments if not registered/obtaining the solicitation through Demandstar or Procurement Department.</w:t>
        <w:br/>
        <w:br/>
        <w:t>Important Insights</w:t>
        <w:br/>
        <w:br/>
        <w:t>• Key observations for proposal teams</w:t>
        <w:br/>
        <w:t xml:space="preserve">  • Use Demandstar.com for submission and consider registering to avoid missing amendments. Ensure all required cover page items are present. Ensure signatures by an authorized officer and notarization where required. Follow the 8 ½” x 11” typed format and submit well before the deadline given the City’s non-responsibility for technical issues.</w:t>
        <w:br/>
        <w:br/>
        <w:t>• Notable opportunities</w:t>
        <w:br/>
        <w:t xml:space="preserve">  • Not specified in the RFP</w:t>
        <w:br/>
        <w:br/>
        <w:t>• Important strategic considerations</w:t>
        <w:br/>
        <w:t xml:space="preserve">  • Prepare for a bid validity period of 180 days. Anticipate that award is contingent upon execution of a contract and potential City Commission approval. Ensure compliance with Cone of Silence rules and procurement submission protocols to avoid disqualification.</w:t>
      </w:r>
    </w:p>
    <w:p>
      <w:pPr>
        <w:pStyle w:val="Heading2"/>
      </w:pPr>
      <w:r>
        <w:rPr>
          <w:rFonts w:ascii="Cambria" w:hAnsi="Cambria"/>
          <w:b/>
          <w:color w:val="1A1A2E"/>
          <w:sz w:val="28"/>
        </w:rPr>
        <w:t>Scope of Work</w:t>
      </w:r>
    </w:p>
    <w:p>
      <w:pPr/>
      <w:r>
        <w:rPr>
          <w:rFonts w:ascii="Calibri" w:hAnsi="Calibri"/>
          <w:i/>
          <w:color w:val="999999"/>
          <w:sz w:val="22"/>
        </w:rPr>
        <w:t>No information extracted.</w:t>
      </w:r>
    </w:p>
    <w:p/>
    <w:p>
      <w:pPr>
        <w:pStyle w:val="Heading2"/>
      </w:pPr>
      <w:r>
        <w:rPr>
          <w:rFonts w:ascii="Cambria" w:hAnsi="Cambria"/>
          <w:b/>
          <w:color w:val="1A1A2E"/>
          <w:sz w:val="28"/>
        </w:rPr>
        <w:t>Deliverables</w:t>
      </w:r>
    </w:p>
    <w:p>
      <w:pPr/>
      <w:r>
        <w:rPr>
          <w:rFonts w:ascii="Calibri" w:hAnsi="Calibri"/>
          <w:i/>
          <w:color w:val="999999"/>
          <w:sz w:val="22"/>
        </w:rPr>
        <w:t>No information extracted.</w:t>
      </w:r>
    </w:p>
    <w:p/>
    <w:p>
      <w:pPr>
        <w:pStyle w:val="Heading2"/>
      </w:pPr>
      <w:r>
        <w:rPr>
          <w:rFonts w:ascii="Cambria" w:hAnsi="Cambria"/>
          <w:b/>
          <w:color w:val="1A1A2E"/>
          <w:sz w:val="28"/>
        </w:rPr>
        <w:t>Objectives</w:t>
      </w:r>
    </w:p>
    <w:p>
      <w:pPr/>
      <w:r>
        <w:rPr>
          <w:rFonts w:ascii="Calibri" w:hAnsi="Calibri"/>
          <w:i/>
          <w:color w:val="999999"/>
          <w:sz w:val="22"/>
        </w:rPr>
        <w:t>No information extracted.</w:t>
      </w:r>
    </w:p>
    <w:p/>
    <w:p>
      <w:pPr>
        <w:pStyle w:val="Heading2"/>
      </w:pPr>
      <w:r>
        <w:rPr>
          <w:rFonts w:ascii="Cambria" w:hAnsi="Cambria"/>
          <w:b/>
          <w:color w:val="1A1A2E"/>
          <w:sz w:val="28"/>
        </w:rPr>
        <w:t>Deadlines</w:t>
      </w:r>
    </w:p>
    <w:p>
      <w:pPr/>
      <w:r>
        <w:rPr>
          <w:rFonts w:ascii="Calibri" w:hAnsi="Calibri"/>
          <w:i/>
          <w:color w:val="999999"/>
          <w:sz w:val="22"/>
        </w:rPr>
        <w:t>No information extracted.</w:t>
      </w:r>
    </w:p>
    <w:p/>
    <w:p>
      <w:pPr>
        <w:pStyle w:val="Heading2"/>
      </w:pPr>
      <w:r>
        <w:rPr>
          <w:rFonts w:ascii="Cambria" w:hAnsi="Cambria"/>
          <w:b/>
          <w:color w:val="1A1A2E"/>
          <w:sz w:val="28"/>
        </w:rPr>
        <w:t>Staffing Requirements</w:t>
      </w:r>
    </w:p>
    <w:p>
      <w:pPr/>
      <w:r>
        <w:rPr>
          <w:rFonts w:ascii="Calibri" w:hAnsi="Calibri"/>
          <w:i/>
          <w:color w:val="999999"/>
          <w:sz w:val="22"/>
        </w:rPr>
        <w:t>No information extracted.</w:t>
      </w:r>
    </w:p>
    <w:p/>
    <w:p>
      <w:pPr>
        <w:pStyle w:val="Heading2"/>
      </w:pPr>
      <w:r>
        <w:rPr>
          <w:rFonts w:ascii="Cambria" w:hAnsi="Cambria"/>
          <w:b/>
          <w:color w:val="1A1A2E"/>
          <w:sz w:val="28"/>
        </w:rPr>
        <w:t>Compliance Items</w:t>
      </w:r>
    </w:p>
    <w:p>
      <w:pPr/>
      <w:r>
        <w:rPr>
          <w:rFonts w:ascii="Calibri" w:hAnsi="Calibri"/>
          <w:i/>
          <w:color w:val="999999"/>
          <w:sz w:val="22"/>
        </w:rPr>
        <w:t>No information extracted.</w:t>
      </w:r>
    </w:p>
    <w:p/>
    <w:p>
      <w:pPr>
        <w:jc w:val="center"/>
      </w:pPr>
      <w:r>
        <w:rPr>
          <w:rFonts w:ascii="Calibri" w:hAnsi="Calibri"/>
          <w:i/>
          <w:color w:val="AAAAAA"/>
          <w:sz w:val="18"/>
        </w:rPr>
        <w:t>This report was automatically generated by RFP Analysis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