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2"/>
        <w:gridCol w:w="10257"/>
      </w:tblGrid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10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«Скажи-ка, дядя, ведь не даром Москва, спалённая пожаром, французу отдана? Ведь были ж схватки боевые? Да, говорят, ещё какие! Не даром помнит вся Россия Про день Бородина!» 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10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— </w:t>
            </w:r>
            <w:r>
              <w:rPr/>
              <w:t xml:space="preserve">Да, были люди в наше время, Не то, что нынешнее племя: Богатыри — не вы! Плохая им досталась доля: Не многие вернулись с поля... Не будь на то господня воля, Не отдали б Москвы!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