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DOSSIER DE DEMANDE D’ÉTUDE EXPLORATOIRE RTE</w:t>
      </w:r>
    </w:p>
    <w:p>
      <w:pPr>
        <w:spacing w:after="40"/>
        <w:jc w:val="center"/>
      </w:pPr>
      <w:r>
        <w:rPr>
          <w:b/>
          <w:bCs/>
          <w:sz w:val="24"/>
          <w:szCs w:val="24"/>
        </w:rPr>
        <w:t xml:space="preserve">Projet AI-Valley  ·  Haynecourt (59)  ·  extension 600 MW</w:t>
      </w:r>
    </w:p>
    <w:p>
      <w:pPr>
        <w:spacing w:after="240"/>
        <w:jc w:val="center"/>
      </w:pPr>
      <w:r>
        <w:rPr>
          <w:i/>
          <w:iCs/>
          <w:color w:val="595959"/>
          <w:sz w:val="19"/>
          <w:szCs w:val="19"/>
        </w:rPr>
        <w:t xml:space="preserve">Document de préparation interne Castignac – 30 juillet 2026</w:t>
      </w:r>
    </w:p>
    <w:p>
      <w:pPr>
        <w:pBdr>
          <w:bottom w:val="single" w:color="1F3864" w:sz="8" w:space="6"/>
        </w:pBdr>
        <w:spacing w:after="200"/>
      </w:pPr>
      <w:r>
        <w:t xml:space="preserve"/>
      </w:r>
    </w:p>
    <w:p>
      <w:pPr>
        <w:spacing w:after="120"/>
      </w:pPr>
      <w:r>
        <w:rPr>
          <w:rFonts w:ascii="Calibri" w:cs="Calibri" w:eastAsia="Calibri" w:hAnsi="Calibri"/>
          <w:i/>
          <w:iCs/>
        </w:rPr>
        <w:t xml:space="preserve">Ce document rassemble tout ce qu’il faut pour déposer la demande. Les champs marqués [À CONFIRMER] sont les seuls qui restent à arbitrer en interne avant saisie.</w:t>
      </w:r>
    </w:p>
    <w:p>
      <w:pPr>
        <w:pStyle w:val="Heading1"/>
        <w:spacing w:after="120" w:before="240"/>
      </w:pPr>
      <w:r>
        <w:t xml:space="preserve">1. Rappel de procédure</w:t>
      </w:r>
    </w:p>
    <w:p>
      <w:pPr>
        <w:spacing w:after="120"/>
      </w:pPr>
      <w:r>
        <w:rPr>
          <w:rFonts w:ascii="Calibri" w:cs="Calibri" w:eastAsia="Calibri" w:hAnsi="Calibri"/>
        </w:rPr>
        <w:t xml:space="preserve">L’étude exploratoire est facultative, gratuite et sans engagement. Elle ne vaut pas entrée en file d’attente. Elle est régie par l’article 1.2.2 de la documentation technique de référence de RTE.</w:t>
      </w:r>
    </w:p>
    <w:p>
      <w:pPr>
        <w:pStyle w:val="ListParagraph"/>
        <w:numPr>
          <w:ilvl w:val="0"/>
          <w:numId w:val="2"/>
        </w:numPr>
        <w:spacing w:after="80"/>
      </w:pPr>
      <w:r>
        <w:rPr>
          <w:rFonts w:ascii="Calibri" w:cs="Calibri" w:eastAsia="Calibri" w:hAnsi="Calibri"/>
        </w:rPr>
        <w:t xml:space="preserve">Dépôt : formulaire dématérialisé du Portail Services RTE (services-rte.com), rubrique raccordement des installations de consommation. Ce formulaire reprend toutes les rubriques de la fiche D1 et constitue le canal privilégié. La D1 par courriel reste possible dans les cas particuliers.</w:t>
      </w:r>
    </w:p>
    <w:p>
      <w:pPr>
        <w:pStyle w:val="ListParagraph"/>
        <w:numPr>
          <w:ilvl w:val="0"/>
          <w:numId w:val="2"/>
        </w:numPr>
        <w:spacing w:after="80"/>
      </w:pPr>
      <w:r>
        <w:rPr>
          <w:rFonts w:ascii="Calibri" w:cs="Calibri" w:eastAsia="Calibri" w:hAnsi="Calibri"/>
        </w:rPr>
        <w:t xml:space="preserve">Recevabilité : RTE dispose de 8 jours ouvrés pour signaler une pièce manquante.</w:t>
      </w:r>
    </w:p>
    <w:p>
      <w:pPr>
        <w:pStyle w:val="ListParagraph"/>
        <w:numPr>
          <w:ilvl w:val="0"/>
          <w:numId w:val="2"/>
        </w:numPr>
        <w:spacing w:after="80"/>
      </w:pPr>
      <w:r>
        <w:rPr>
          <w:rFonts w:ascii="Calibri" w:cs="Calibri" w:eastAsia="Calibri" w:hAnsi="Calibri"/>
        </w:rPr>
        <w:t xml:space="preserve">Délai annoncé : 6 semaines à compter de la recevabilité. Délai réellement observé sur les dossiers complétables : 4 à 16 semaines, le dépassement croissant avec la puissance.</w:t>
      </w:r>
    </w:p>
    <w:p>
      <w:pPr>
        <w:pStyle w:val="ListParagraph"/>
        <w:numPr>
          <w:ilvl w:val="0"/>
          <w:numId w:val="2"/>
        </w:numPr>
        <w:spacing w:after="80"/>
      </w:pPr>
      <w:r>
        <w:rPr>
          <w:rFonts w:ascii="Calibri" w:cs="Calibri" w:eastAsia="Calibri" w:hAnsi="Calibri"/>
        </w:rPr>
        <w:t xml:space="preserve">La fiche D1 se met à jour, elle ne se redépose pas : le formulaire porte une date initiale et une date de mise à jour.</w:t>
      </w:r>
    </w:p>
    <w:p>
      <w:pPr>
        <w:spacing w:after="100"/>
      </w:pPr>
      <w:r>
        <w:rPr>
          <w:rFonts w:ascii="Calibri" w:cs="Calibri" w:eastAsia="Calibri" w:hAnsi="Calibri"/>
          <w:b/>
          <w:bCs/>
        </w:rPr>
        <w:t xml:space="preserve">Délais constatés sur les études en notre possession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685"/>
        <w:gridCol w:w="1685"/>
        <w:gridCol w:w="1778"/>
      </w:tblGrid>
      <w:tr>
        <w:trPr>
          <w:tblHeader/>
        </w:trPr>
        <w:tc>
          <w:tcPr>
            <w:tcW w:type="dxa" w:w="2808"/>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Étude</w:t>
            </w:r>
          </w:p>
        </w:tc>
        <w:tc>
          <w:tcPr>
            <w:tcW w:type="dxa" w:w="1404"/>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Puissance</w:t>
            </w:r>
          </w:p>
        </w:tc>
        <w:tc>
          <w:tcPr>
            <w:tcW w:type="dxa" w:w="1685"/>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Demande</w:t>
            </w:r>
          </w:p>
        </w:tc>
        <w:tc>
          <w:tcPr>
            <w:tcW w:type="dxa" w:w="1685"/>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Remise</w:t>
            </w:r>
          </w:p>
        </w:tc>
        <w:tc>
          <w:tcPr>
            <w:tcW w:type="dxa" w:w="1778"/>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Délai</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26-4883 Angoulême</w:t>
            </w:r>
          </w:p>
        </w:tc>
        <w:tc>
          <w:tcPr>
            <w:tcW w:type="dxa" w:w="140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60 MW</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26/05/2026</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24/06/2026</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semaines</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24-1410 Fortum Haynecourt</w:t>
            </w:r>
          </w:p>
        </w:tc>
        <w:tc>
          <w:tcPr>
            <w:tcW w:type="dxa" w:w="140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64 MW</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07/05/2024</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28/06/2024</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 semaines</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26-2818 Oursel-Maison</w:t>
            </w:r>
          </w:p>
        </w:tc>
        <w:tc>
          <w:tcPr>
            <w:tcW w:type="dxa" w:w="140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600-1000 MW</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17/03/2026</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15/05/2026</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semaines</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26-2278 Épinoy E-Valley</w:t>
            </w:r>
          </w:p>
        </w:tc>
        <w:tc>
          <w:tcPr>
            <w:tcW w:type="dxa" w:w="140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600 MW</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13/02/2026</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08/06/2026</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 semaines</w:t>
            </w:r>
          </w:p>
        </w:tc>
      </w:tr>
    </w:tbl>
    <w:p>
      <w:pPr>
        <w:spacing w:after="60"/>
      </w:pPr>
      <w:r>
        <w:rPr>
          <w:rFonts w:ascii="Calibri" w:cs="Calibri" w:eastAsia="Calibri" w:hAnsi="Calibri"/>
        </w:rPr>
        <w:t xml:space="preserve">Conséquence opérationnelle : sur une demande à 600 MW, prévoir 4 mois entre le dépôt et la réception. Relancer par écrit à la sixième semaine en visant l’article 1.2.2.</w:t>
      </w:r>
    </w:p>
    <w:p>
      <w:pPr>
        <w:pStyle w:val="Heading1"/>
        <w:spacing w:after="120" w:before="240"/>
      </w:pPr>
      <w:r>
        <w:t xml:space="preserve">2. Champs à saisir dans le formulaire 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tblHeader/>
        </w:trPr>
        <w:tc>
          <w:tcPr>
            <w:tcW w:type="dxa" w:w="2808"/>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Champ du formulaire</w:t>
            </w:r>
          </w:p>
        </w:tc>
        <w:tc>
          <w:tcPr>
            <w:tcW w:type="dxa" w:w="3182"/>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Valeur à saisir</w:t>
            </w:r>
          </w:p>
        </w:tc>
        <w:tc>
          <w:tcPr>
            <w:tcW w:type="dxa" w:w="337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Commentaire</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 du demandeur du raccordement</w:t>
            </w:r>
          </w:p>
        </w:tc>
        <w:tc>
          <w:tcPr>
            <w:tcW w:type="dxa" w:w="318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[À CONFIRMER] entité porteuse du lot</w:t>
            </w:r>
          </w:p>
        </w:tc>
        <w:tc>
          <w:tcPr>
            <w:tcW w:type="dxa" w:w="337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Les 4 études de référence sont déposées tantôt par la société de projet (SNC E-Valley, Fortum France, DIGITAL2060), tantôt par une personne physique. Préférer la structure qui portera la PTF, pour éviter un transfert de dossier ultérieur.</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 de la demande</w:t>
            </w:r>
          </w:p>
        </w:tc>
        <w:tc>
          <w:tcPr>
            <w:tcW w:type="dxa" w:w="318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 de dépôt effectif</w:t>
            </w:r>
          </w:p>
        </w:tc>
        <w:tc>
          <w:tcPr>
            <w:tcW w:type="dxa" w:w="337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Fait courir le délai. Le réseau pris en compte est celui existant à cette date, plus les évolutions déjà décidées.</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Localisation du point de raccordement</w:t>
            </w:r>
          </w:p>
        </w:tc>
        <w:tc>
          <w:tcPr>
            <w:tcW w:type="dxa" w:w="318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Haynecourt (59), lat [À COMPLÉTER] / lon [À COMPLÉTER]</w:t>
            </w:r>
          </w:p>
        </w:tc>
        <w:tc>
          <w:tcPr>
            <w:tcW w:type="dxa" w:w="337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Coordonnées à relever sur le plan d’implantation du poste de livraison HTB (lot 8 selon avenant 2), pas le centroïde communal. RTE étudie exactement le point déclaré.</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Nature de la demande</w:t>
            </w:r>
          </w:p>
        </w:tc>
        <w:tc>
          <w:tcPr>
            <w:tcW w:type="dxa" w:w="318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Nouveau raccordement HTB</w:t>
            </w:r>
          </w:p>
        </w:tc>
        <w:tc>
          <w:tcPr>
            <w:tcW w:type="dxa" w:w="337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Formulation retenue par RTE sur l’étude Épinoy 26-2278.</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Puissance de raccordement au soutirage</w:t>
            </w:r>
          </w:p>
        </w:tc>
        <w:tc>
          <w:tcPr>
            <w:tcW w:type="dxa" w:w="318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Hypothèse 1 : 600 MW  ·  Hypothèse 2 : 400 MW</w:t>
            </w:r>
          </w:p>
        </w:tc>
        <w:tc>
          <w:tcPr>
            <w:tcW w:type="dxa" w:w="337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Voir section 3. Les deux hypothèses sont déclarées ensemble pour obtenir deux solutions chiffrées, comme RTE l’a fait pour Fortum (64 MW en 225 kV ou 40 MW en 63 kV).</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 de mise en service souhaitée</w:t>
            </w:r>
          </w:p>
        </w:tc>
        <w:tc>
          <w:tcPr>
            <w:tcW w:type="dxa" w:w="318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[À CONFIRMER] 30/09/2035 proposé</w:t>
            </w:r>
          </w:p>
        </w:tc>
        <w:tc>
          <w:tcPr>
            <w:tcW w:type="dxa" w:w="337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Cohérent avec le jalon extension du dossier AIV et avec la date déjà déposée sur Épinoy 26-2278. Une date postérieure aux renforcements programmés réduit mécaniquement les limitations temporaires annoncées.</w:t>
            </w:r>
          </w:p>
        </w:tc>
      </w:tr>
      <w:tr>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Alimentation de secours</w:t>
            </w:r>
          </w:p>
        </w:tc>
        <w:tc>
          <w:tcPr>
            <w:tcW w:type="dxa" w:w="318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[À CONFIRMER] non demandée</w:t>
            </w:r>
          </w:p>
        </w:tc>
        <w:tc>
          <w:tcPr>
            <w:tcW w:type="dxa" w:w="337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secours fait passer la contribution client de 70 % à environ 85 % et impose une double antenne. À trancher avant le dépôt, pas après.</w:t>
            </w:r>
          </w:p>
        </w:tc>
      </w:tr>
    </w:tbl>
    <w:p>
      <w:pPr>
        <w:pStyle w:val="Heading1"/>
        <w:spacing w:after="120" w:before="240"/>
      </w:pPr>
      <w:r>
        <w:t xml:space="preserve">3. Justification des deux hypothèses de puissance</w:t>
      </w:r>
    </w:p>
    <w:p>
      <w:pPr>
        <w:spacing w:after="120"/>
      </w:pPr>
      <w:r>
        <w:rPr>
          <w:rFonts w:ascii="Calibri" w:cs="Calibri" w:eastAsia="Calibri" w:hAnsi="Calibri"/>
        </w:rPr>
        <w:t xml:space="preserve">Article 105 de l’arrêté du 9 juin 2020. La puissance de raccordement doit être inférieure à la plus petite des deux valeurs, où d est la distance en kilomètres comptée sur un parcours de réseau réalisable techniquement et administrativement entre le point de raccordement et le point de transformation vers la tension supérieure le plus proche.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527"/>
        <w:gridCol w:w="2621"/>
      </w:tblGrid>
      <w:tr>
        <w:trPr>
          <w:tblHeader/>
        </w:trPr>
        <w:tc>
          <w:tcPr>
            <w:tcW w:type="dxa" w:w="4212"/>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Domaine de tension de référence</w:t>
            </w:r>
          </w:p>
        </w:tc>
        <w:tc>
          <w:tcPr>
            <w:tcW w:type="dxa" w:w="2527"/>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Seuil absolu (MW)</w:t>
            </w:r>
          </w:p>
        </w:tc>
        <w:tc>
          <w:tcPr>
            <w:tcW w:type="dxa" w:w="2621"/>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Critère de distance</w:t>
            </w:r>
          </w:p>
        </w:tc>
      </w:tr>
      <w:tr>
        <w:tc>
          <w:tcPr>
            <w:tcW w:type="dxa" w:w="421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HTA</w:t>
            </w:r>
          </w:p>
        </w:tc>
        <w:tc>
          <w:tcPr>
            <w:tcW w:type="dxa" w:w="252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w:t>
            </w:r>
          </w:p>
        </w:tc>
        <w:tc>
          <w:tcPr>
            <w:tcW w:type="dxa" w:w="262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 / d</w:t>
            </w:r>
          </w:p>
        </w:tc>
      </w:tr>
      <w:tr>
        <w:tc>
          <w:tcPr>
            <w:tcW w:type="dxa" w:w="421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HTB1 (63 kV et 90 kV)</w:t>
            </w:r>
          </w:p>
        </w:tc>
        <w:tc>
          <w:tcPr>
            <w:tcW w:type="dxa" w:w="252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w:t>
            </w:r>
          </w:p>
        </w:tc>
        <w:tc>
          <w:tcPr>
            <w:tcW w:type="dxa" w:w="262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1 000 / d</w:t>
            </w:r>
          </w:p>
        </w:tc>
      </w:tr>
      <w:tr>
        <w:tc>
          <w:tcPr>
            <w:tcW w:type="dxa" w:w="421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HTB2 (150 kV et 225 kV)</w:t>
            </w:r>
          </w:p>
        </w:tc>
        <w:tc>
          <w:tcPr>
            <w:tcW w:type="dxa" w:w="252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400</w:t>
            </w:r>
          </w:p>
        </w:tc>
        <w:tc>
          <w:tcPr>
            <w:tcW w:type="dxa" w:w="262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10 000 / d</w:t>
            </w:r>
          </w:p>
        </w:tc>
      </w:tr>
      <w:tr>
        <w:tc>
          <w:tcPr>
            <w:tcW w:type="dxa" w:w="421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HTB3 (400 kV)</w:t>
            </w:r>
          </w:p>
        </w:tc>
        <w:tc>
          <w:tcPr>
            <w:tcW w:type="dxa" w:w="252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au-delà</w:t>
            </w:r>
          </w:p>
        </w:tc>
        <w:tc>
          <w:tcPr>
            <w:tcW w:type="dxa" w:w="262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sans objet</w:t>
            </w:r>
          </w:p>
        </w:tc>
      </w:tr>
    </w:tbl>
    <w:p>
      <w:pPr>
        <w:spacing w:after="100"/>
      </w:pPr>
      <w:r>
        <w:rPr>
          <w:rFonts w:ascii="Calibri" w:cs="Calibri" w:eastAsia="Calibri" w:hAnsi="Calibri"/>
          <w:b/>
          <w:bCs/>
        </w:rPr>
        <w:t xml:space="preserve">Application à Haynecourt :</w:t>
      </w:r>
    </w:p>
    <w:p>
      <w:pPr>
        <w:pStyle w:val="ListParagraph"/>
        <w:numPr>
          <w:ilvl w:val="0"/>
          <w:numId w:val="2"/>
        </w:numPr>
        <w:spacing w:after="80"/>
      </w:pPr>
      <w:r>
        <w:rPr>
          <w:rFonts w:ascii="Calibri" w:cs="Calibri" w:eastAsia="Calibri" w:hAnsi="Calibri"/>
        </w:rPr>
        <w:t xml:space="preserve">d = 17 km jusqu’au poste 400 kV de Mastaing. Cette valeur n’est pas une estimation de notre part : c’est celle retenue par RTE dans l’étude 23-1496 sur ce même site.</w:t>
      </w:r>
    </w:p>
    <w:p>
      <w:pPr>
        <w:pStyle w:val="ListParagraph"/>
        <w:numPr>
          <w:ilvl w:val="0"/>
          <w:numId w:val="2"/>
        </w:numPr>
        <w:spacing w:after="80"/>
      </w:pPr>
      <w:r>
        <w:rPr>
          <w:rFonts w:ascii="Calibri" w:cs="Calibri" w:eastAsia="Calibri" w:hAnsi="Calibri"/>
        </w:rPr>
        <w:t xml:space="preserve">Hypothèse 1, 600 MW : supérieure au seuil absolu de 400 MW du HTB2, donc raccordement en HTB3 400 kV imposé, quelle que soit la distance.</w:t>
      </w:r>
    </w:p>
    <w:p>
      <w:pPr>
        <w:pStyle w:val="ListParagraph"/>
        <w:numPr>
          <w:ilvl w:val="0"/>
          <w:numId w:val="2"/>
        </w:numPr>
        <w:spacing w:after="80"/>
      </w:pPr>
      <w:r>
        <w:rPr>
          <w:rFonts w:ascii="Calibri" w:cs="Calibri" w:eastAsia="Calibri" w:hAnsi="Calibri"/>
        </w:rPr>
        <w:t xml:space="preserve">Hypothèse 2, puissance plafond pour rester en HTB2 225 kV : min(400 ; 10 000 / 17 = 588) = 400 MW. Le critère de distance n’est pas mordant ici, c’est le seuil absolu qui plafonne. La bonne valeur à déclarer est donc 400 MW, pas une valeur ronde inférieure.</w:t>
      </w:r>
    </w:p>
    <w:p>
      <w:pPr>
        <w:spacing w:after="120"/>
      </w:pPr>
      <w:r>
        <w:rPr>
          <w:rFonts w:ascii="Calibri" w:cs="Calibri" w:eastAsia="Calibri" w:hAnsi="Calibri"/>
        </w:rPr>
        <w:t xml:space="preserve">Ce que l’arbitrage met en jeu, sur la base des précédents connus : en 400 kV, le schéma type est une entrée en coupure avec création de poste, un délai de l’ordre de 120 mois et des limitations temporaires possibles (cas Oursel-Maison). En 225 kV depuis Mastaing, le schéma type est une antenne ou double antenne souterraine de 17 km avec autotransformateur 400/225 kV et selfs de compensation, pour un délai de l’ordre de 59 mois (cas 23-1496 à 180 MW, 77 M€). Le passage de 180 à 400 MW aggravera la saturation de transformation déjà signalée par RTE sur la zone : c’est précisément ce qu’il faut faire chiffrer.</w:t>
      </w:r>
    </w:p>
    <w:p>
      <w:pPr>
        <w:pStyle w:val="Heading1"/>
        <w:spacing w:after="120" w:before="240"/>
      </w:pPr>
      <w:r>
        <w:t xml:space="preserve">4. Antériorité RTE sur la zone</w:t>
      </w:r>
    </w:p>
    <w:p>
      <w:pPr>
        <w:spacing w:after="120"/>
      </w:pPr>
      <w:r>
        <w:rPr>
          <w:rFonts w:ascii="Calibri" w:cs="Calibri" w:eastAsia="Calibri" w:hAnsi="Calibri"/>
        </w:rPr>
        <w:t xml:space="preserve">Trois études exploratoires ont déjà été rendues sur ce secteur. Les mentionner dans la demande fait gagner du temps à l’instructeur et crédibilise le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685"/>
        <w:gridCol w:w="1217"/>
        <w:gridCol w:w="2808"/>
        <w:gridCol w:w="1778"/>
      </w:tblGrid>
      <w:tr>
        <w:trPr>
          <w:tblHeader/>
        </w:trPr>
        <w:tc>
          <w:tcPr>
            <w:tcW w:type="dxa" w:w="1872"/>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Étude</w:t>
            </w:r>
          </w:p>
        </w:tc>
        <w:tc>
          <w:tcPr>
            <w:tcW w:type="dxa" w:w="1685"/>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Site</w:t>
            </w:r>
          </w:p>
        </w:tc>
        <w:tc>
          <w:tcPr>
            <w:tcW w:type="dxa" w:w="1217"/>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Puissance</w:t>
            </w:r>
          </w:p>
        </w:tc>
        <w:tc>
          <w:tcPr>
            <w:tcW w:type="dxa" w:w="2808"/>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Solution retenue</w:t>
            </w:r>
          </w:p>
        </w:tc>
        <w:tc>
          <w:tcPr>
            <w:tcW w:type="dxa" w:w="1778"/>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Coût</w:t>
            </w:r>
          </w:p>
        </w:tc>
      </w:tr>
      <w:tr>
        <w:tc>
          <w:tcPr>
            <w:tcW w:type="dxa" w:w="187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23-1496</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Haynecourt</w:t>
            </w:r>
          </w:p>
        </w:tc>
        <w:tc>
          <w:tcPr>
            <w:tcW w:type="dxa" w:w="121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180 MW</w:t>
            </w:r>
          </w:p>
        </w:tc>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Double antenne 225 kV depuis Mastaing, 2 x 17 km souterrain, AT 400/225 kV et selfs</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77 M€ (65,5 M€ client)</w:t>
            </w:r>
          </w:p>
        </w:tc>
      </w:tr>
      <w:tr>
        <w:tc>
          <w:tcPr>
            <w:tcW w:type="dxa" w:w="187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23-1496 var. 2</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Haynecourt</w:t>
            </w:r>
          </w:p>
        </w:tc>
        <w:tc>
          <w:tcPr>
            <w:tcW w:type="dxa" w:w="121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180 MW</w:t>
            </w:r>
          </w:p>
        </w:tc>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Coupure 225 kV Gavrelle-Dechy, création de poste, 2 x 13 km</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66 M€ (46 M€ client)</w:t>
            </w:r>
          </w:p>
        </w:tc>
      </w:tr>
      <w:tr>
        <w:tc>
          <w:tcPr>
            <w:tcW w:type="dxa" w:w="187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24-1410</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Haynecourt</w:t>
            </w:r>
          </w:p>
        </w:tc>
        <w:tc>
          <w:tcPr>
            <w:tcW w:type="dxa" w:w="121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64 MW</w:t>
            </w:r>
          </w:p>
        </w:tc>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Antenne 225 kV Mastaing, 17 km souterrain</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 M€ (17,5 M€ client)</w:t>
            </w:r>
          </w:p>
        </w:tc>
      </w:tr>
      <w:tr>
        <w:tc>
          <w:tcPr>
            <w:tcW w:type="dxa" w:w="187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26-2278</w:t>
            </w:r>
          </w:p>
        </w:tc>
        <w:tc>
          <w:tcPr>
            <w:tcW w:type="dxa" w:w="16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Épinoy</w:t>
            </w:r>
          </w:p>
        </w:tc>
        <w:tc>
          <w:tcPr>
            <w:tcW w:type="dxa" w:w="121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600 MW</w:t>
            </w:r>
          </w:p>
        </w:tc>
        <w:tc>
          <w:tcPr>
            <w:tcW w:type="dxa" w:w="280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Étude rendue le 08/06/2026</w:t>
            </w:r>
          </w:p>
        </w:tc>
        <w:tc>
          <w:tcPr>
            <w:tcW w:type="dxa" w:w="177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voir dossier</w:t>
            </w:r>
          </w:p>
        </w:tc>
      </w:tr>
    </w:tbl>
    <w:p>
      <w:pPr>
        <w:spacing w:after="120"/>
      </w:pPr>
      <w:r>
        <w:rPr>
          <w:rFonts w:ascii="Calibri" w:cs="Calibri" w:eastAsia="Calibri" w:hAnsi="Calibri"/>
        </w:rPr>
        <w:t xml:space="preserve">Enseignement principal : sur cette zone RTE a déjà identifié une saturation de transformation imposant un autotransformateur 400/225 kV, et le coût est dominé par les 17 km de liaison souterraine jusqu’à Mastaing. Toute solution qui raccourcit cette distance, ou qui passe en aérien, change l’ordre de grandeur.</w:t>
      </w:r>
    </w:p>
    <w:p>
      <w:pPr>
        <w:pStyle w:val="Heading1"/>
        <w:spacing w:after="120" w:before="240"/>
      </w:pPr>
      <w:r>
        <w:t xml:space="preserve">5. Pièces à joindre</w:t>
      </w:r>
    </w:p>
    <w:p>
      <w:pPr>
        <w:pStyle w:val="ListParagraph"/>
        <w:numPr>
          <w:ilvl w:val="0"/>
          <w:numId w:val="2"/>
        </w:numPr>
        <w:spacing w:after="80"/>
      </w:pPr>
      <w:r>
        <w:rPr>
          <w:rFonts w:ascii="Calibri" w:cs="Calibri" w:eastAsia="Calibri" w:hAnsi="Calibri"/>
        </w:rPr>
        <w:t xml:space="preserve">Extrait cadastral du point de raccordement. Pièce obligatoire : son absence bloque la recevabilité dès les 8 premiers jours.</w:t>
      </w:r>
    </w:p>
    <w:p>
      <w:pPr>
        <w:pStyle w:val="ListParagraph"/>
        <w:numPr>
          <w:ilvl w:val="0"/>
          <w:numId w:val="2"/>
        </w:numPr>
        <w:spacing w:after="80"/>
      </w:pPr>
      <w:r>
        <w:rPr>
          <w:rFonts w:ascii="Calibri" w:cs="Calibri" w:eastAsia="Calibri" w:hAnsi="Calibri"/>
        </w:rPr>
        <w:t xml:space="preserve">Plan de situation et plan d’implantation du poste de livraison HTB sur le lot.</w:t>
      </w:r>
    </w:p>
    <w:p>
      <w:pPr>
        <w:pStyle w:val="ListParagraph"/>
        <w:numPr>
          <w:ilvl w:val="0"/>
          <w:numId w:val="2"/>
        </w:numPr>
        <w:spacing w:after="80"/>
      </w:pPr>
      <w:r>
        <w:rPr>
          <w:rFonts w:ascii="Calibri" w:cs="Calibri" w:eastAsia="Calibri" w:hAnsi="Calibri"/>
        </w:rPr>
        <w:t xml:space="preserve">Schéma unifilaire sommaire du poste de livraison client.</w:t>
      </w:r>
    </w:p>
    <w:p>
      <w:pPr>
        <w:pStyle w:val="ListParagraph"/>
        <w:numPr>
          <w:ilvl w:val="0"/>
          <w:numId w:val="2"/>
        </w:numPr>
        <w:spacing w:after="80"/>
      </w:pPr>
      <w:r>
        <w:rPr>
          <w:rFonts w:ascii="Calibri" w:cs="Calibri" w:eastAsia="Calibri" w:hAnsi="Calibri"/>
        </w:rPr>
        <w:t xml:space="preserve">Note de contexte d’une page (texte préparé en section 6).</w:t>
      </w:r>
    </w:p>
    <w:p>
      <w:pPr>
        <w:pStyle w:val="ListParagraph"/>
        <w:numPr>
          <w:ilvl w:val="0"/>
          <w:numId w:val="2"/>
        </w:numPr>
        <w:spacing w:after="80"/>
      </w:pPr>
      <w:r>
        <w:rPr>
          <w:rFonts w:ascii="Calibri" w:cs="Calibri" w:eastAsia="Calibri" w:hAnsi="Calibri"/>
        </w:rPr>
        <w:t xml:space="preserve">Le cas échéant, courbe de montée en charge si la puissance est atteinte par paliers.</w:t>
      </w:r>
    </w:p>
    <w:p>
      <w:pPr>
        <w:pStyle w:val="Heading1"/>
        <w:spacing w:after="120" w:before="240"/>
      </w:pPr>
      <w:r>
        <w:t xml:space="preserve">6. Note de contexte à joindre</w:t>
      </w:r>
    </w:p>
    <w:p>
      <w:pPr>
        <w:spacing w:after="120"/>
      </w:pPr>
      <w:r>
        <w:rPr>
          <w:rFonts w:ascii="Calibri" w:cs="Calibri" w:eastAsia="Calibri" w:hAnsi="Calibri"/>
          <w:i/>
          <w:iCs/>
        </w:rPr>
        <w:t xml:space="preserve">Texte prêt à reprendre, à ajuster une fois les champs [À CONFIRMER] arbitrés.</w:t>
      </w:r>
    </w:p>
    <w:p>
      <w:pPr>
        <w:pBdr>
          <w:left w:val="single" w:color="A6A6A6" w:sz="12" w:space="12"/>
        </w:pBdr>
        <w:spacing w:after="80" w:before="120"/>
      </w:pPr>
      <w:r>
        <w:rPr>
          <w:b/>
          <w:bCs/>
        </w:rPr>
        <w:t xml:space="preserve">Objet : demande d’étude exploratoire, extension du campus AI-Valley à Haynecourt (59).</w:t>
      </w:r>
    </w:p>
    <w:p>
      <w:pPr>
        <w:pBdr>
          <w:left w:val="single" w:color="A6A6A6" w:sz="12" w:space="12"/>
        </w:pBdr>
        <w:spacing w:after="80"/>
      </w:pPr>
      <w:r>
        <w:t xml:space="preserve">Le projet AI-Valley porte sur un campus de datacenters implanté sur la plateforme E-Valley Sud, ancienne base aérienne 103, à Haynecourt. Une première tranche de 460 MW est déjà sécurisée, dont 380 MW au titre du réseau public de transport et 80 MW au titre du réseau de distribution, avec deux propositions techniques et financières Enedis acceptées. La présente demande porte sur l’extension du campus, indépendante de cette première tranche.</w:t>
      </w:r>
    </w:p>
    <w:p>
      <w:pPr>
        <w:pBdr>
          <w:left w:val="single" w:color="A6A6A6" w:sz="12" w:space="12"/>
        </w:pBdr>
        <w:spacing w:after="80"/>
      </w:pPr>
      <w:r>
        <w:t xml:space="preserve">Le foncier est maîtrisé et viabilisé, le permis de construire du premier lot est purgé de tout recours depuis janvier 2026, et l’emplacement du poste de livraison HTB est d’ores et déjà réservé sur le site. Nous sommes en mesure de mettre une emprise foncière à disposition de RTE pour les ouvrages de raccordement, ce qui constitue, comme RTE le relève lui-même dans ses études, un facteur de sécurisation du délai.</w:t>
      </w:r>
    </w:p>
    <w:p>
      <w:pPr>
        <w:pBdr>
          <w:left w:val="single" w:color="A6A6A6" w:sz="12" w:space="12"/>
        </w:pBdr>
        <w:spacing w:after="80"/>
      </w:pPr>
      <w:r>
        <w:t xml:space="preserve">La charge est un datacenter, consommation stable et non perturbatrice, sans à-coups significatifs. Aucune alimentation de secours n’est demandée à ce stade.</w:t>
      </w:r>
    </w:p>
    <w:p>
      <w:pPr>
        <w:pBdr>
          <w:left w:val="single" w:color="A6A6A6" w:sz="12" w:space="12"/>
        </w:pBdr>
        <w:spacing w:after="80"/>
      </w:pPr>
      <w:r>
        <w:t xml:space="preserve">Nous déclarons deux hypothèses de puissance et sollicitons une solution chiffrée pour chacune : 600 MW, qui relève du domaine HTB3 en application de l’article 105 de l’arrêté du 9 juin 2020, et 400 MW, puissance plafond permettant un raccordement en HTB2 compte tenu d’une distance d de 17 km jusqu’au poste 400 kV de Mastaing, valeur retenue par RTE dans l’étude exploratoire n°23-1496 portant sur ce même site.</w:t>
      </w:r>
    </w:p>
    <w:p>
      <w:pPr>
        <w:pBdr>
          <w:left w:val="single" w:color="A6A6A6" w:sz="12" w:space="12"/>
        </w:pBdr>
        <w:spacing w:after="80"/>
      </w:pPr>
      <w:r>
        <w:t xml:space="preserve">Nous appelons votre attention sur les études exploratoires n°23-1496 et n°24-1410, déjà réalisées sur la commune de Haynecourt, ainsi que sur l’étude n°26-2278 portant sur Épinoy, susceptibles d’éclairer l’instruction.</w:t>
      </w:r>
    </w:p>
    <w:p>
      <w:pPr>
        <w:pBdr>
          <w:left w:val="single" w:color="A6A6A6" w:sz="12" w:space="12"/>
        </w:pBdr>
        <w:spacing w:after="160"/>
      </w:pPr>
      <w:r>
        <w:t xml:space="preserve">Nous sollicitons enfin une restitution orale des résultats.</w:t>
      </w:r>
    </w:p>
    <w:p>
      <w:pPr>
        <w:pStyle w:val="Heading1"/>
        <w:spacing w:after="120" w:before="240"/>
      </w:pPr>
      <w:r>
        <w:t xml:space="preserve">7. Questions à poser explicitement</w:t>
      </w:r>
    </w:p>
    <w:p>
      <w:pPr>
        <w:spacing w:after="120"/>
      </w:pPr>
      <w:r>
        <w:rPr>
          <w:rFonts w:ascii="Calibri" w:cs="Calibri" w:eastAsia="Calibri" w:hAnsi="Calibri"/>
        </w:rPr>
        <w:t xml:space="preserve">Ces quatre points sont les seuls que nous ne pouvons pas produire nous-mêmes, faute d’accès au modèle de réseau. Ils décident pourtant de la viabilité du site. Les formuler nommément dans la demande, puis les reposer lors de la restitution orale.</w:t>
      </w:r>
    </w:p>
    <w:p>
      <w:pPr>
        <w:pStyle w:val="ListParagraph"/>
        <w:numPr>
          <w:ilvl w:val="0"/>
          <w:numId w:val="2"/>
        </w:numPr>
        <w:spacing w:after="80"/>
      </w:pPr>
      <w:r>
        <w:rPr>
          <w:rFonts w:ascii="Calibri" w:cs="Calibri" w:eastAsia="Calibri" w:hAnsi="Calibri"/>
        </w:rPr>
        <w:t xml:space="preserve">Contraintes de transit induites en régime normal et sur incident, à l’horizon de mise en service déclaré.</w:t>
      </w:r>
    </w:p>
    <w:p>
      <w:pPr>
        <w:pStyle w:val="ListParagraph"/>
        <w:numPr>
          <w:ilvl w:val="0"/>
          <w:numId w:val="2"/>
        </w:numPr>
        <w:spacing w:after="80"/>
      </w:pPr>
      <w:r>
        <w:rPr>
          <w:rFonts w:ascii="Calibri" w:cs="Calibri" w:eastAsia="Calibri" w:hAnsi="Calibri"/>
        </w:rPr>
        <w:t xml:space="preserve">Renforcements amont nécessaires et leur calendrier prévisionnel, en particulier au niveau 400 kV.</w:t>
      </w:r>
    </w:p>
    <w:p>
      <w:pPr>
        <w:pStyle w:val="ListParagraph"/>
        <w:numPr>
          <w:ilvl w:val="0"/>
          <w:numId w:val="2"/>
        </w:numPr>
        <w:spacing w:after="80"/>
      </w:pPr>
      <w:r>
        <w:rPr>
          <w:rFonts w:ascii="Calibri" w:cs="Calibri" w:eastAsia="Calibri" w:hAnsi="Calibri"/>
        </w:rPr>
        <w:t xml:space="preserve">Besoin de compensation de réactif, autotransformateur et selfs, avec l’ordre de grandeur associé. Sur le précédent 23-1496, ce poste pèse une vingtaine de millions d’euros sur 77.</w:t>
      </w:r>
    </w:p>
    <w:p>
      <w:pPr>
        <w:pStyle w:val="ListParagraph"/>
        <w:numPr>
          <w:ilvl w:val="0"/>
          <w:numId w:val="2"/>
        </w:numPr>
        <w:spacing w:after="80"/>
      </w:pPr>
      <w:r>
        <w:rPr>
          <w:rFonts w:ascii="Calibri" w:cs="Calibri" w:eastAsia="Calibri" w:hAnsi="Calibri"/>
        </w:rPr>
        <w:t xml:space="preserve">Limitations temporaires envisagées : profondeur en MW, durée en heures par an, année de levée, et caractère indemnisé ou non. Sur Oursel-Maison, RTE a annoncé 2 800 h par an jusqu’en 2035 sans indemnisation, soit près d’un tiers de l’année.</w:t>
      </w:r>
    </w:p>
    <w:p>
      <w:pPr>
        <w:pStyle w:val="Heading1"/>
        <w:spacing w:after="120" w:before="240"/>
      </w:pPr>
      <w:r>
        <w:t xml:space="preserve">8. Suites</w:t>
      </w:r>
    </w:p>
    <w:p>
      <w:pPr>
        <w:pStyle w:val="ListParagraph"/>
        <w:numPr>
          <w:ilvl w:val="0"/>
          <w:numId w:val="2"/>
        </w:numPr>
        <w:spacing w:after="80"/>
      </w:pPr>
      <w:r>
        <w:rPr>
          <w:rFonts w:ascii="Calibri" w:cs="Calibri" w:eastAsia="Calibri" w:hAnsi="Calibri"/>
        </w:rPr>
        <w:t xml:space="preserve">À réception, l’étude peut faire l’objet d’une demande de confirmation de validité avant le dépôt de la PTF. RTE répond sous 15 jours, sans actualisation du montant.</w:t>
      </w:r>
    </w:p>
    <w:p>
      <w:pPr>
        <w:pStyle w:val="ListParagraph"/>
        <w:numPr>
          <w:ilvl w:val="0"/>
          <w:numId w:val="2"/>
        </w:numPr>
        <w:spacing w:after="80"/>
      </w:pPr>
      <w:r>
        <w:rPr>
          <w:rFonts w:ascii="Calibri" w:cs="Calibri" w:eastAsia="Calibri" w:hAnsi="Calibri"/>
        </w:rPr>
        <w:t xml:space="preserve">La demande de PTF se fait ensuite par fiche D2, accompagnée du versement d’une somme forfaitaire de 42 000 € HT déductible. Instruction sous 3 mois, validité de la PTF 3 mois.</w:t>
      </w:r>
    </w:p>
    <w:p>
      <w:pPr>
        <w:pStyle w:val="ListParagraph"/>
        <w:numPr>
          <w:ilvl w:val="0"/>
          <w:numId w:val="2"/>
        </w:numPr>
        <w:spacing w:after="80"/>
      </w:pPr>
      <w:r>
        <w:rPr>
          <w:rFonts w:ascii="Calibri" w:cs="Calibri" w:eastAsia="Calibri" w:hAnsi="Calibri"/>
        </w:rPr>
        <w:t xml:space="preserve">L’acceptation de la PTF vaut entrée en file d’attente. Le maintien annuel suppose la fourniture de justificatifs d’avancement ou le versement de 1 k€ par MW.</w:t>
      </w:r>
    </w:p>
    <w:p>
      <w:pPr>
        <w:pBdr>
          <w:top w:val="single" w:color="BFBFBF" w:sz="6" w:space="8"/>
        </w:pBdr>
        <w:spacing w:before="300"/>
      </w:pPr>
      <w:r>
        <w:rPr>
          <w:i/>
          <w:iCs/>
          <w:color w:val="595959"/>
          <w:sz w:val="17"/>
          <w:szCs w:val="17"/>
        </w:rPr>
        <w:t xml:space="preserve">Sources : études exploratoires RTE n°23-1496, 24-1410, 26-2818, 26-2278 et 26-4883 ; documentation technique de référence RTE article 1.2.2 ; arrêté du 9 juin 2020 article 105 ; présentation AI-Valley v10 du 29/07/2026.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1F3864"/>
      <w:sz w:val="28"/>
      <w:szCs w:val="28"/>
    </w:rPr>
  </w:style>
  <w:style w:type="paragraph" w:styleId="Heading2">
    <w:name w:val="Heading 2"/>
    <w:basedOn w:val="Normal"/>
    <w:next w:val="Normal"/>
    <w:qFormat/>
    <w:pPr>
      <w:spacing w:after="100" w:before="220"/>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demande d etude exploratoire RTE - AI-Valley Haynecourt</dc:title>
  <dc:creator>Castignac</dc:creator>
  <cp:lastModifiedBy>Un-named</cp:lastModifiedBy>
  <cp:revision>1</cp:revision>
  <dcterms:created xsi:type="dcterms:W3CDTF">2026-07-30T13:48:48.192Z</dcterms:created>
  <dcterms:modified xsi:type="dcterms:W3CDTF">2026-07-30T13:48:48.209Z</dcterms:modified>
</cp:coreProperties>
</file>

<file path=docProps/custom.xml><?xml version="1.0" encoding="utf-8"?>
<Properties xmlns="http://schemas.openxmlformats.org/officeDocument/2006/custom-properties" xmlns:vt="http://schemas.openxmlformats.org/officeDocument/2006/docPropsVTypes"/>
</file>