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6E64AF" w:rsidRDefault="006E64AF">
      <w:pPr>
        <w:jc w:val="both"/>
        <w:rPr>
          <w:rFonts w:ascii="Times-Roman" w:hAnsi="Times-Roman"/>
          <w:color w:val="000000"/>
          <w:sz w:val="24"/>
        </w:rPr>
      </w:pPr>
      <w:r w:rsidRPr="006E64AF">
        <w:rPr>
          <w:rFonts w:ascii="Times-Roman" w:hAnsi="Times-Roman"/>
          <w:color w:val="000000"/>
          <w:sz w:val="24"/>
        </w:rPr>
        <w:t>The Institute's Internal Quality Assurance Cell (IQAC), established in 2018, addresses various challenges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to enhance the teaching-learning process and overall student development. To ensure an effective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learning experience, IQAC implemented strategies such as providing lecture video links and class notes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through Google Classroom, following a structured schedule. The utilization of the MHRD virtual lab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portal for both physical and virtual lab classes was encouraged. Real-time recording of labs and lecture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videos was initiated by the institute, with the content shared for student access.</w:t>
      </w:r>
    </w:p>
    <w:p w:rsidR="006E64AF" w:rsidRDefault="006E64AF">
      <w:pPr>
        <w:jc w:val="both"/>
        <w:rPr>
          <w:rFonts w:ascii="Times-Roman" w:hAnsi="Times-Roman"/>
          <w:color w:val="000000"/>
        </w:rPr>
      </w:pP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IQAC also emphasized the importance of mentorship, advising students to enrol in aptitude and soft skill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classes along with additional courses. Faculty mentors maintained regular communication with students</w:t>
      </w:r>
      <w:proofErr w:type="gramStart"/>
      <w:r w:rsidRPr="006E64AF">
        <w:rPr>
          <w:rFonts w:ascii="Times-Roman" w:hAnsi="Times-Roman"/>
          <w:color w:val="000000"/>
          <w:sz w:val="24"/>
        </w:rPr>
        <w:t>,</w:t>
      </w:r>
      <w:proofErr w:type="gramEnd"/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fostering a personal bond, improving the teaching-learning process, and enhancing attendance.</w:t>
      </w:r>
    </w:p>
    <w:p w:rsidR="006E64AF" w:rsidRDefault="006E64AF">
      <w:pPr>
        <w:jc w:val="both"/>
        <w:rPr>
          <w:rFonts w:ascii="Times-Roman" w:hAnsi="Times-Roman"/>
          <w:color w:val="000000"/>
          <w:sz w:val="24"/>
        </w:rPr>
      </w:pPr>
      <w:r w:rsidRPr="006E64AF">
        <w:rPr>
          <w:rFonts w:ascii="Times-Roman" w:hAnsi="Times-Roman"/>
          <w:color w:val="000000"/>
          <w:sz w:val="24"/>
        </w:rPr>
        <w:t>In response to the need for practical instruction beyond the regular curriculum, IQAC recommended the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introduction of supplemental courses. Additionally, faculty members were encouraged to engage in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research endeavours, fostering a culture of research within the institution. These initiatives collectively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contribute to the holistic development of students and the overall quality enhancement of the educational</w:t>
      </w:r>
      <w:r w:rsidRPr="006E64AF">
        <w:rPr>
          <w:rFonts w:ascii="Times-Roman" w:hAnsi="Times-Roman"/>
          <w:color w:val="000000"/>
        </w:rPr>
        <w:br/>
      </w:r>
      <w:r w:rsidRPr="006E64AF">
        <w:rPr>
          <w:rFonts w:ascii="Times-Roman" w:hAnsi="Times-Roman"/>
          <w:color w:val="000000"/>
          <w:sz w:val="24"/>
        </w:rPr>
        <w:t>experience.</w:t>
      </w:r>
    </w:p>
    <w:p w:rsidR="006E64AF" w:rsidRDefault="006E64AF" w:rsidP="006E64AF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6E64AF">
        <w:rPr>
          <w:rFonts w:ascii="Times-Roman" w:eastAsia="Times New Roman" w:hAnsi="Times-Roman" w:cs="Times New Roman"/>
          <w:color w:val="000000"/>
          <w:sz w:val="24"/>
        </w:rPr>
        <w:t>The Internal Quality Assurance Cell (IQAC) has played a pivotal role in upholding and enhancing the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quality standards of the institution while strategically planning for its growth. Continuous quality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improvement has been a focal point not only for students but also for faculty and the broader institutional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environment. The comprehensive approach includes various successful measures:</w:t>
      </w:r>
    </w:p>
    <w:p w:rsidR="006E64AF" w:rsidRDefault="006E64AF" w:rsidP="006E64AF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  <w:szCs w:val="24"/>
        </w:rPr>
      </w:pPr>
    </w:p>
    <w:p w:rsidR="006E64AF" w:rsidRPr="006E64AF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64AF">
        <w:rPr>
          <w:rFonts w:ascii="Times-Roman" w:eastAsia="Times New Roman" w:hAnsi="Times-Roman" w:cs="Times New Roman"/>
          <w:color w:val="000000"/>
          <w:sz w:val="24"/>
        </w:rPr>
        <w:t>The institution gathers faculty feedback, overseen by the head of the institution, to ensure continuous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improvement. Students' feedback on subjects, teaching methodologies, and other aspects is actively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sought. Alumni feedback provides valuable insights into the institution's performance and areas of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enhancement. The institution maintains an eco-friendly campus with a well-maintained natural water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body. Faculty Development Programs are conducted to keep faculty members abreast of the latest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advancements. Tutorials and remedial classes are organized to provide additional support to students.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Internal evaluations, assignments, and regular attendance analyses, along with communication with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parents, contribute to monitoring and improving student performance. Support for research and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development is offered through various initiatives, including paid leaves for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conferences/seminars/workshops, membership support, and registration fee assistance. The Training and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Placement Cell actively provides placement assistance. These measures collectively contribute to the</w:t>
      </w:r>
      <w:r w:rsidRPr="006E64A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6E64AF">
        <w:rPr>
          <w:rFonts w:ascii="Times-Roman" w:eastAsia="Times New Roman" w:hAnsi="Times-Roman" w:cs="Times New Roman"/>
          <w:color w:val="000000"/>
          <w:sz w:val="24"/>
        </w:rPr>
        <w:t>institution's commitment to quality assurance and continuous improvement</w:t>
      </w:r>
    </w:p>
    <w:p w:rsidR="006E64AF" w:rsidRPr="00663748" w:rsidRDefault="006E64AF">
      <w:pPr>
        <w:jc w:val="both"/>
        <w:rPr>
          <w:rFonts w:ascii="Times New Roman" w:eastAsia="Times New Roman" w:hAnsi="Times New Roman" w:cs="Times New Roman"/>
          <w:b/>
        </w:rPr>
      </w:pPr>
    </w:p>
    <w:p w:rsidR="00911C6C" w:rsidRPr="00911C6C" w:rsidRDefault="00911C6C" w:rsidP="00911C6C">
      <w:pPr>
        <w:ind w:left="360"/>
        <w:jc w:val="both"/>
        <w:rPr>
          <w:rFonts w:ascii="Times New Roman" w:hAnsi="Times New Roman" w:cs="Times New Roman"/>
          <w:color w:val="000000"/>
        </w:rPr>
      </w:pPr>
    </w:p>
    <w:sectPr w:rsidR="00911C6C" w:rsidRPr="00911C6C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5017A"/>
    <w:multiLevelType w:val="hybridMultilevel"/>
    <w:tmpl w:val="A84CF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07F31"/>
    <w:multiLevelType w:val="hybridMultilevel"/>
    <w:tmpl w:val="AA5AE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D1F21"/>
    <w:multiLevelType w:val="hybridMultilevel"/>
    <w:tmpl w:val="C5723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E1710"/>
    <w:multiLevelType w:val="hybridMultilevel"/>
    <w:tmpl w:val="D1E4B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0"/>
  </w:num>
  <w:num w:numId="5">
    <w:abstractNumId w:val="2"/>
  </w:num>
  <w:num w:numId="6">
    <w:abstractNumId w:val="13"/>
  </w:num>
  <w:num w:numId="7">
    <w:abstractNumId w:val="15"/>
  </w:num>
  <w:num w:numId="8">
    <w:abstractNumId w:val="19"/>
  </w:num>
  <w:num w:numId="9">
    <w:abstractNumId w:val="18"/>
  </w:num>
  <w:num w:numId="10">
    <w:abstractNumId w:val="9"/>
  </w:num>
  <w:num w:numId="11">
    <w:abstractNumId w:val="11"/>
  </w:num>
  <w:num w:numId="12">
    <w:abstractNumId w:val="7"/>
  </w:num>
  <w:num w:numId="13">
    <w:abstractNumId w:val="4"/>
  </w:num>
  <w:num w:numId="14">
    <w:abstractNumId w:val="8"/>
  </w:num>
  <w:num w:numId="15">
    <w:abstractNumId w:val="14"/>
  </w:num>
  <w:num w:numId="16">
    <w:abstractNumId w:val="16"/>
  </w:num>
  <w:num w:numId="17">
    <w:abstractNumId w:val="6"/>
  </w:num>
  <w:num w:numId="18">
    <w:abstractNumId w:val="1"/>
  </w:num>
  <w:num w:numId="19">
    <w:abstractNumId w:val="17"/>
  </w:num>
  <w:num w:numId="20">
    <w:abstractNumId w:val="1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26EDB"/>
    <w:rsid w:val="000F361D"/>
    <w:rsid w:val="001A6CCC"/>
    <w:rsid w:val="001E5A18"/>
    <w:rsid w:val="002061AF"/>
    <w:rsid w:val="002737C7"/>
    <w:rsid w:val="002B422E"/>
    <w:rsid w:val="00310DD2"/>
    <w:rsid w:val="004262B8"/>
    <w:rsid w:val="0044190B"/>
    <w:rsid w:val="004E217F"/>
    <w:rsid w:val="005A1884"/>
    <w:rsid w:val="006633B9"/>
    <w:rsid w:val="00663627"/>
    <w:rsid w:val="00663748"/>
    <w:rsid w:val="006E64AF"/>
    <w:rsid w:val="00795CAF"/>
    <w:rsid w:val="008D2D4A"/>
    <w:rsid w:val="00911C6C"/>
    <w:rsid w:val="00967886"/>
    <w:rsid w:val="00A17EBC"/>
    <w:rsid w:val="00A54434"/>
    <w:rsid w:val="00CE1090"/>
    <w:rsid w:val="00D05AFE"/>
    <w:rsid w:val="00D227E7"/>
    <w:rsid w:val="00D654EA"/>
    <w:rsid w:val="00DC6594"/>
    <w:rsid w:val="00E43057"/>
    <w:rsid w:val="00F25CFE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17</cp:revision>
  <dcterms:created xsi:type="dcterms:W3CDTF">2024-04-04T19:29:00Z</dcterms:created>
  <dcterms:modified xsi:type="dcterms:W3CDTF">2024-04-06T09:55:00Z</dcterms:modified>
</cp:coreProperties>
</file>