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 w:line="240" w:lineRule="auto"/>
        <w:jc w:val="left"/>
      </w:pPr>
      <w:r>
        <w:rPr>
          <w:rFonts w:ascii="Calibri" w:hAnsi="Calibri"/>
          <w:b/>
          <w:color w:val="2E74B5"/>
          <w:sz w:val="18"/>
        </w:rPr>
        <w:t>ALBA CORP. CREATIVE, API-INTEGRATED WEB APP</w:t>
      </w:r>
    </w:p>
    <w:p>
      <w:pPr>
        <w:pStyle w:val="Title"/>
        <w:jc w:val="left"/>
      </w:pPr>
      <w:r>
        <w:rPr>
          <w:rFonts w:ascii="Calibri" w:hAnsi="Calibri"/>
          <w:b/>
          <w:color w:val="0B2545"/>
          <w:sz w:val="54"/>
        </w:rPr>
        <w:t>Signal</w:t>
      </w:r>
    </w:p>
    <w:p>
      <w:pPr>
        <w:pStyle w:val="Subtitle"/>
        <w:jc w:val="left"/>
      </w:pPr>
      <w:r>
        <w:rPr>
          <w:rFonts w:ascii="Calibri" w:hAnsi="Calibri"/>
          <w:color w:val="5E6B7A"/>
          <w:sz w:val="28"/>
        </w:rPr>
        <w:t>Technical &amp; Product Documentation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Project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9"/>
              </w:rPr>
              <w:t>Signal — public-data company intelligence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Repository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9"/>
              </w:rPr>
              <w:t>maluraditya/alba-assessments · /01-web-app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Deployment target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9"/>
              </w:rPr>
              <w:t>Vercel with 01-web-app configured as the Root Directory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69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Purpose. </w:t>
            </w:r>
            <w:r>
              <w:rPr>
                <w:rFonts w:ascii="Calibri" w:hAnsi="Calibri"/>
                <w:color w:val="161B22"/>
                <w:sz w:val="21"/>
              </w:rPr>
              <w:t>This document gives reviewers a complete, source-aware explanation of Signal's product scope, API strategy, architecture, advanced features, and verification approach.</w:t>
            </w:r>
          </w:p>
        </w:tc>
      </w:tr>
    </w:tbl>
    <w:p>
      <w:pPr>
        <w:pStyle w:val="Heading1"/>
      </w:pPr>
      <w:r>
        <w:t>1. Product overview</w:t>
      </w:r>
    </w:p>
    <w:p>
      <w:pPr>
        <w:spacing w:before="0" w:after="120" w:line="264" w:lineRule="auto"/>
      </w:pPr>
      <w:r>
        <w:rPr>
          <w:rFonts w:ascii="Calibri" w:hAnsi="Calibri"/>
          <w:color w:val="161B22"/>
          <w:sz w:val="22"/>
        </w:rPr>
        <w:t>Signal is a public-data company intelligence product. A user enters a company name, legal entity, or official domain and receives one source-aware briefing that combines company identity, official-web evidence, developer activity, current coverage, country context, and an optional AI synthesis.</w:t>
      </w:r>
    </w:p>
    <w:p>
      <w:pPr>
        <w:spacing w:before="0" w:after="120" w:line="264" w:lineRule="auto"/>
      </w:pPr>
      <w:r>
        <w:rPr>
          <w:rFonts w:ascii="Calibri" w:hAnsi="Calibri"/>
          <w:color w:val="161B22"/>
          <w:sz w:val="22"/>
        </w:rPr>
        <w:t>The product is intentionally not a generic dashboard. Its interface is an editorial research environment: the landing page explains the trust model before search, while the report presents evidence as a decision brief rather than a collection of disconnected widgets.</w:t>
      </w:r>
    </w:p>
    <w:p>
      <w:pPr>
        <w:pStyle w:val="Heading2"/>
      </w:pPr>
      <w:r>
        <w:t>User problem</w:t>
      </w:r>
    </w:p>
    <w:p>
      <w:pPr>
        <w:spacing w:before="0" w:after="120" w:line="264" w:lineRule="auto"/>
      </w:pPr>
      <w:r>
        <w:rPr>
          <w:rFonts w:ascii="Calibri" w:hAnsi="Calibri"/>
          <w:color w:val="161B22"/>
          <w:sz w:val="22"/>
        </w:rPr>
        <w:t>Researching an unfamiliar company normally means moving between search engines, legal-entity records, company websites, GitHub, news feeds, and AI tools. This is slow and increases the risk of confusing similarly named organisations or treating a missing source as a negative signal.</w:t>
      </w:r>
    </w:p>
    <w:p>
      <w:pPr>
        <w:pStyle w:val="Heading2"/>
      </w:pPr>
      <w:r>
        <w:t>Product outcome</w:t>
      </w:r>
    </w:p>
    <w:p>
      <w:pPr>
        <w:spacing w:before="0" w:after="120" w:line="264" w:lineRule="auto"/>
      </w:pPr>
      <w:r>
        <w:rPr>
          <w:rFonts w:ascii="Calibri" w:hAnsi="Calibri"/>
          <w:color w:val="161B22"/>
          <w:sz w:val="22"/>
        </w:rPr>
        <w:t>Signal reduces that work to a shareable URL and a clear report. It makes the evidence found, the evidence unavailable or uncertain, and the next verification step explicit.</w:t>
      </w:r>
    </w:p>
    <w:p>
      <w:pPr>
        <w:pStyle w:val="Heading2"/>
      </w:pPr>
      <w:r>
        <w:t>Scope</w:t>
      </w:r>
    </w:p>
    <w:p>
      <w:pPr>
        <w:spacing w:before="0" w:after="120" w:line="264" w:lineRule="auto"/>
      </w:pPr>
      <w:r>
        <w:rPr>
          <w:rFonts w:ascii="Calibri" w:hAnsi="Calibri"/>
          <w:b/>
          <w:color w:val="0B2545"/>
          <w:sz w:val="22"/>
        </w:rPr>
        <w:t xml:space="preserve">Included: </w:t>
      </w:r>
      <w:r>
        <w:rPr>
          <w:rFonts w:ascii="Calibri" w:hAnsi="Calibri"/>
          <w:color w:val="161B22"/>
          <w:sz w:val="22"/>
        </w:rPr>
        <w:t>Global debounced search, multi-source evidence fusion, evidence-constrained Gemini synthesis, source-level loading/empty/error states, and a responsive accessible research experience.</w:t>
      </w:r>
    </w:p>
    <w:p>
      <w:pPr>
        <w:spacing w:before="0" w:after="120" w:line="264" w:lineRule="auto"/>
      </w:pPr>
      <w:r>
        <w:rPr>
          <w:rFonts w:ascii="Calibri" w:hAnsi="Calibri"/>
          <w:b/>
          <w:color w:val="0B2545"/>
          <w:sz w:val="22"/>
        </w:rPr>
        <w:t xml:space="preserve">Deliberately excluded: </w:t>
      </w:r>
      <w:r>
        <w:rPr>
          <w:rFonts w:ascii="Calibri" w:hAnsi="Calibri"/>
          <w:color w:val="161B22"/>
          <w:sz w:val="22"/>
        </w:rPr>
        <w:t>Accounts, saved lists, billing, CRM integrations, private company databases, paid data providers, and invented analytics. These would dilute the search-to-brief experience within the assessment time-box.</w:t>
      </w:r>
    </w:p>
    <w:p>
      <w:pPr>
        <w:pStyle w:val="Heading1"/>
      </w:pPr>
      <w:r>
        <w:t>2. API choices</w:t>
      </w:r>
    </w:p>
    <w:p>
      <w:pPr>
        <w:spacing w:before="0" w:after="120" w:line="264" w:lineRule="auto"/>
      </w:pPr>
      <w:r>
        <w:rPr>
          <w:rFonts w:ascii="Calibri" w:hAnsi="Calibri"/>
          <w:color w:val="161B22"/>
          <w:sz w:val="22"/>
        </w:rPr>
        <w:t>Signal uses public, free, and key-optional sources. No credential is exposed to the browser; every upstream request is made by server-only services.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2550"/>
        <w:gridCol w:w="2850"/>
        <w:gridCol w:w="23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Source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Role in Signal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Why this choice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Failure behaviour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6"/>
              </w:rPr>
              <w:t>GLEIF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6"/>
              </w:rPr>
              <w:t>Global legal-entity search and LEI selection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6"/>
              </w:rPr>
              <w:t>Broad registered-entity coverage beyond technology companies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6"/>
              </w:rPr>
              <w:t>Search continues with alternate identity sources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6"/>
              </w:rPr>
              <w:t>Wikidata + Wikipedia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6"/>
              </w:rPr>
              <w:t>Organisation matching and public context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6"/>
              </w:rPr>
              <w:t>Useful canonical public-identity path for notable companies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6"/>
              </w:rPr>
              <w:t>Report continues with website or legal-entity evidence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6"/>
              </w:rPr>
              <w:t>Official website metadata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6"/>
              </w:rPr>
              <w:t>Name, description, founding year, location, industry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6"/>
              </w:rPr>
              <w:t>First-party evidence for local companies and startups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6"/>
              </w:rPr>
              <w:t>Initials and remaining identity signals remain available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6"/>
              </w:rPr>
              <w:t>Public-web discovery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6"/>
              </w:rPr>
              <w:t>Name-to-official-domain fallback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6"/>
              </w:rPr>
              <w:t>Resolves companies absent from structured indexes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6"/>
              </w:rPr>
              <w:t>Shows an explicit no-match state rather than inventing a result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6"/>
              </w:rPr>
              <w:t>GitHub REST API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6"/>
              </w:rPr>
              <w:t>Verified public organisation and repository footprint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6"/>
              </w:rPr>
              <w:t>Independent builder signal when genuinely verifiable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6"/>
              </w:rPr>
              <w:t>Panel reports no signal or rate-limit state independently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6"/>
              </w:rPr>
              <w:t>Google News RSS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6"/>
              </w:rPr>
              <w:t>Current coverage and timeline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6"/>
              </w:rPr>
              <w:t>Free broad-coverage alternative to a news trial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6"/>
              </w:rPr>
              <w:t>News becomes empty/unavailable without blocking report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6"/>
              </w:rPr>
              <w:t>REST Countries v5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6"/>
              </w:rPr>
              <w:t>Country operating context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6"/>
              </w:rPr>
              <w:t>Adds dependable country-level context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6"/>
              </w:rPr>
              <w:t>Country panel degrades independently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6"/>
              </w:rPr>
              <w:t>Google Gemini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6"/>
              </w:rPr>
              <w:t>Executive synthesis and watch item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6"/>
              </w:rPr>
              <w:t>Turns supplied evidence into a concise brief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6"/>
              </w:rPr>
              <w:t>Deterministic source-derived brief replaces AI output</w:t>
            </w:r>
          </w:p>
        </w:tc>
      </w:tr>
    </w:tbl>
    <w:p>
      <w:pPr>
        <w:spacing w:after="40"/>
      </w:pPr>
    </w:p>
    <w:p>
      <w:pPr>
        <w:pStyle w:val="Heading2"/>
      </w:pPr>
      <w:r>
        <w:t>API-specific implementation notes</w:t>
      </w:r>
    </w:p>
    <w:p>
      <w:pPr>
        <w:pStyle w:val="Heading3"/>
      </w:pPr>
      <w:r>
        <w:t>Identity resolution and ambiguity</w:t>
      </w:r>
    </w:p>
    <w:p>
      <w:pPr>
        <w:spacing w:before="0" w:after="120" w:line="264" w:lineRule="auto"/>
      </w:pPr>
      <w:r>
        <w:rPr>
          <w:rFonts w:ascii="Calibri" w:hAnsi="Calibri"/>
          <w:color w:val="161B22"/>
          <w:sz w:val="22"/>
        </w:rPr>
        <w:t>Wikidata and GLEIF search in parallel. A selected GLEIF record remains tied to its unique LEI rather than being resolved again by fuzzy name, avoiding similarly named legal entities being mixed together. Official-domain discovery is labelled as website evidence rather than legal-record proof.</w:t>
      </w:r>
    </w:p>
    <w:p>
      <w:pPr>
        <w:pStyle w:val="Heading3"/>
      </w:pPr>
      <w:r>
        <w:t>GitHub matching</w:t>
      </w:r>
    </w:p>
    <w:p>
      <w:pPr>
        <w:spacing w:before="0" w:after="120" w:line="264" w:lineRule="auto"/>
      </w:pPr>
      <w:r>
        <w:rPr>
          <w:rFonts w:ascii="Calibri" w:hAnsi="Calibri"/>
          <w:color w:val="161B22"/>
          <w:sz w:val="22"/>
        </w:rPr>
        <w:t>Legal suffixes such as Inc. and Ltd. are removed before trying a bounded, deduplicated candidate set. A matched organisation with zero repositories is treated as an empty development signal, not as misleading zero metrics. GITHUB_TOKEN is optional and only raises the public rate limit.</w:t>
      </w:r>
    </w:p>
    <w:p>
      <w:pPr>
        <w:pStyle w:val="Heading3"/>
      </w:pPr>
      <w:r>
        <w:t>Gemini safeguards</w:t>
      </w:r>
    </w:p>
    <w:p>
      <w:pPr>
        <w:spacing w:before="0" w:after="120" w:line="264" w:lineRule="auto"/>
      </w:pPr>
      <w:r>
        <w:rPr>
          <w:rFonts w:ascii="Calibri" w:hAnsi="Calibri"/>
          <w:color w:val="161B22"/>
          <w:sz w:val="22"/>
        </w:rPr>
        <w:t>Gemini receives a constrained normalized evidence bundle. Its JSON output is schema-validated before rendering. Missing credentials, quota errors, invalid model output, and upstream failures use the same source-derived fallback.</w:t>
      </w:r>
    </w:p>
    <w:p>
      <w:pPr>
        <w:pStyle w:val="Heading1"/>
      </w:pPr>
      <w:r>
        <w:t>3. Architecture</w:t>
      </w:r>
    </w:p>
    <w:p>
      <w:pPr>
        <w:pStyle w:val="Heading2"/>
      </w:pPr>
      <w:r>
        <w:t>System overview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2F6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3447"/>
                <w:sz w:val="19"/>
              </w:rPr>
              <w:t>Browser</w:t>
              <w:br/>
            </w:r>
            <w:r>
              <w:rPr>
                <w:rFonts w:ascii="Consolas" w:hAnsi="Consolas"/>
                <w:color w:val="243447"/>
                <w:sz w:val="19"/>
              </w:rPr>
              <w:t xml:space="preserve">  ├─ Server-rendered landing and report routes</w:t>
              <w:br/>
            </w:r>
            <w:r>
              <w:rPr>
                <w:rFonts w:ascii="Consolas" w:hAnsi="Consolas"/>
                <w:color w:val="243447"/>
                <w:sz w:val="19"/>
              </w:rPr>
              <w:t xml:space="preserve">  ├─ Search, motion, retry, and copy-link interactions</w:t>
              <w:br/>
            </w:r>
            <w:r>
              <w:rPr>
                <w:rFonts w:ascii="Consolas" w:hAnsi="Consolas"/>
                <w:color w:val="243447"/>
                <w:sz w:val="19"/>
              </w:rPr>
              <w:t xml:space="preserve">  └─ /api/search and /api/company/[query]</w:t>
              <w:br/>
            </w:r>
            <w:r>
              <w:rPr>
                <w:rFonts w:ascii="Consolas" w:hAnsi="Consolas"/>
                <w:color w:val="243447"/>
                <w:sz w:val="19"/>
              </w:rPr>
              <w:t xml:space="preserve">                  │</w:t>
              <w:br/>
            </w:r>
            <w:r>
              <w:rPr>
                <w:rFonts w:ascii="Consolas" w:hAnsi="Consolas"/>
                <w:color w:val="243447"/>
                <w:sz w:val="19"/>
              </w:rPr>
              <w:t xml:space="preserve">                  ▼</w:t>
              <w:br/>
            </w:r>
            <w:r>
              <w:rPr>
                <w:rFonts w:ascii="Consolas" w:hAnsi="Consolas"/>
                <w:color w:val="243447"/>
                <w:sz w:val="19"/>
              </w:rPr>
              <w:t xml:space="preserve">       Next.js backend-for-frontend</w:t>
              <w:br/>
            </w:r>
            <w:r>
              <w:rPr>
                <w:rFonts w:ascii="Consolas" w:hAnsi="Consolas"/>
                <w:color w:val="243447"/>
                <w:sz w:val="19"/>
              </w:rPr>
              <w:t xml:space="preserve">                  │</w:t>
              <w:br/>
            </w:r>
            <w:r>
              <w:rPr>
                <w:rFonts w:ascii="Consolas" w:hAnsi="Consolas"/>
                <w:color w:val="243447"/>
                <w:sz w:val="19"/>
              </w:rPr>
              <w:t xml:space="preserve">                  ▼</w:t>
              <w:br/>
            </w:r>
            <w:r>
              <w:rPr>
                <w:rFonts w:ascii="Consolas" w:hAnsi="Consolas"/>
                <w:color w:val="243447"/>
                <w:sz w:val="19"/>
              </w:rPr>
              <w:t xml:space="preserve"> Typed orchestration → GLEIF / Wikidata / Website / GitHub / News / Countries / Gemini</w:t>
              <w:br/>
            </w:r>
            <w:r>
              <w:rPr>
                <w:rFonts w:ascii="Consolas" w:hAnsi="Consolas"/>
                <w:color w:val="243447"/>
                <w:sz w:val="19"/>
              </w:rPr>
              <w:t xml:space="preserve">                  │</w:t>
              <w:br/>
            </w:r>
            <w:r>
              <w:rPr>
                <w:rFonts w:ascii="Consolas" w:hAnsi="Consolas"/>
                <w:color w:val="243447"/>
                <w:sz w:val="19"/>
              </w:rPr>
              <w:t xml:space="preserve">                  ▼</w:t>
              <w:br/>
            </w:r>
            <w:r>
              <w:rPr>
                <w:rFonts w:ascii="Consolas" w:hAnsi="Consolas"/>
                <w:color w:val="243447"/>
                <w:sz w:val="19"/>
              </w:rPr>
              <w:t xml:space="preserve">       Normalized IntelligenceReport</w:t>
            </w:r>
          </w:p>
        </w:tc>
      </w:tr>
    </w:tbl>
    <w:p>
      <w:pPr>
        <w:spacing w:after="40"/>
      </w:pPr>
    </w:p>
    <w:p>
      <w:pPr>
        <w:pStyle w:val="Heading2"/>
      </w:pPr>
      <w:r>
        <w:t>Client/server boundary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50"/>
        <w:gridCol w:w="6910"/>
      </w:tblGrid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Layer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Responsibility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Server-rendered routes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Resolve reports, stream secondary sections, generate metadata, and keep first meaningful content visible for performance and SEO.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Route handlers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Provide GET /api/search for suggestions and GET /api/company/[query] for programmatic access and retry.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Server-only services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Call APIs, manage secrets, enforce timeout/retry policy, normalize payloads, and invoke Gemini.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Client Components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Handle input state, debouncing, keyboard selection, focus management, motion, copy-link feedback, and retry interaction.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Report components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Render typed normalized data only; they do not hold provider response shapes or credentials.</w:t>
            </w:r>
          </w:p>
        </w:tc>
      </w:tr>
    </w:tbl>
    <w:p>
      <w:pPr>
        <w:spacing w:after="40"/>
      </w:pPr>
    </w:p>
    <w:p>
      <w:pPr>
        <w:pStyle w:val="Heading2"/>
      </w:pPr>
      <w:r>
        <w:t>Data model and resilience</w:t>
      </w:r>
    </w:p>
    <w:p>
      <w:pPr>
        <w:spacing w:before="0" w:after="120" w:line="264" w:lineRule="auto"/>
      </w:pPr>
      <w:r>
        <w:rPr>
          <w:rFonts w:ascii="Calibri" w:hAnsi="Calibri"/>
          <w:color w:val="161B22"/>
          <w:sz w:val="22"/>
        </w:rPr>
        <w:t>Every provider returns a discriminated SourceResult&lt;T&gt;: success, empty, unavailable, or rate-limited. The orchestration service assembles those outcomes into one IntelligenceReport. Secondary calls begin together with Promise.all after primary identity resolution, avoiding serial network waterfalls. Each request uses a timeout, bounded retry, exponential backoff, and Retry-After awareness where relevant.</w:t>
      </w:r>
    </w:p>
    <w:p>
      <w:pPr>
        <w:pStyle w:val="Heading2"/>
        <w:pageBreakBefore/>
      </w:pPr>
      <w:r>
        <w:t>Caching strategy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500"/>
        <w:gridCol w:w="4860"/>
      </w:tblGrid>
      <w:t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Data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Typical server-side cache lifetime</w:t>
            </w:r>
          </w:p>
        </w:tc>
      </w:tr>
      <w:t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9"/>
              </w:rPr>
              <w:t>Google News RSS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9"/>
              </w:rPr>
              <w:t>10 minutes</w:t>
            </w:r>
          </w:p>
        </w:tc>
      </w:tr>
      <w:t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9"/>
              </w:rPr>
              <w:t>GitHub repositories / organisation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9"/>
              </w:rPr>
              <w:t>15 minutes / 30 minutes</w:t>
            </w:r>
          </w:p>
        </w:tc>
      </w:tr>
      <w:t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9"/>
              </w:rPr>
              <w:t>Official website metadata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9"/>
              </w:rPr>
              <w:t>24 hours</w:t>
            </w:r>
          </w:p>
        </w:tc>
      </w:tr>
      <w:t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9"/>
              </w:rPr>
              <w:t>Gemini synthesis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9"/>
              </w:rPr>
              <w:t>24 hours</w:t>
            </w:r>
          </w:p>
        </w:tc>
      </w:tr>
      <w:t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9"/>
              </w:rPr>
              <w:t>GLEIF legal-entity result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9"/>
              </w:rPr>
              <w:t>6 hours</w:t>
            </w:r>
          </w:p>
        </w:tc>
      </w:tr>
      <w:t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9"/>
              </w:rPr>
              <w:t>Wikipedia / Wikidata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9"/>
              </w:rPr>
              <w:t>24 hours to 7 days</w:t>
            </w:r>
          </w:p>
        </w:tc>
      </w:tr>
      <w:t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9"/>
              </w:rPr>
              <w:t>REST Countries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9"/>
              </w:rPr>
              <w:t>7 days</w:t>
            </w:r>
          </w:p>
        </w:tc>
      </w:tr>
    </w:tbl>
    <w:p>
      <w:pPr>
        <w:spacing w:after="40"/>
      </w:pPr>
    </w:p>
    <w:p>
      <w:pPr>
        <w:pStyle w:val="Heading2"/>
      </w:pPr>
      <w:r>
        <w:t>Deployment architecture</w:t>
      </w:r>
    </w:p>
    <w:p>
      <w:pPr>
        <w:spacing w:before="0" w:after="120" w:line="264" w:lineRule="auto"/>
      </w:pPr>
      <w:r>
        <w:rPr>
          <w:rFonts w:ascii="Calibri" w:hAnsi="Calibri"/>
          <w:color w:val="161B22"/>
          <w:sz w:val="22"/>
        </w:rPr>
        <w:t>The repository is a small assessment monorepo. Signal lives in /01-web-app; /02-dashboard and /03-n8n-workflow are reserved for the other tasks. Vercel should import the repository with Root Directory set to 01-web-app. The Signal folder has its own package.json, lockfile, environment template, documentation, and Next.js configuration, so it builds independently.</w:t>
      </w:r>
    </w:p>
    <w:p>
      <w:pPr>
        <w:pStyle w:val="Heading1"/>
      </w:pPr>
      <w:r>
        <w:t>4. Advanced features</w:t>
      </w:r>
    </w:p>
    <w:p>
      <w:pPr>
        <w:pStyle w:val="Heading2"/>
      </w:pPr>
      <w:r>
        <w:t>Backend-for-frontend</w:t>
      </w:r>
    </w:p>
    <w:p>
      <w:pPr>
        <w:spacing w:before="0" w:after="120" w:line="264" w:lineRule="auto"/>
      </w:pPr>
      <w:r>
        <w:rPr>
          <w:rFonts w:ascii="Calibri" w:hAnsi="Calibri"/>
          <w:color w:val="161B22"/>
          <w:sz w:val="22"/>
        </w:rPr>
        <w:t>Next.js route handlers and server-only services aggregate upstream calls, keep credentials private, normalize provider responses, cache source results, and translate rate-limit or failure conditions into stable UI states. The browser never needs to understand seven provider response formats.</w:t>
      </w:r>
    </w:p>
    <w:p>
      <w:pPr>
        <w:pStyle w:val="Heading2"/>
      </w:pPr>
      <w:r>
        <w:t>Multi-API data fusion</w:t>
      </w:r>
    </w:p>
    <w:p>
      <w:pPr>
        <w:spacing w:before="0" w:after="120" w:line="264" w:lineRule="auto"/>
      </w:pPr>
      <w:r>
        <w:rPr>
          <w:rFonts w:ascii="Calibri" w:hAnsi="Calibri"/>
          <w:color w:val="161B22"/>
          <w:sz w:val="22"/>
        </w:rPr>
        <w:t>One company view fuses selected identity, official web evidence, verified GitHub activity where available, recent coverage, country context, and an evidence-aware executive brief. The resulting timeline and decision brief cannot be provided by any one source alone.</w:t>
      </w:r>
    </w:p>
    <w:p>
      <w:pPr>
        <w:pStyle w:val="Heading2"/>
      </w:pPr>
      <w:r>
        <w:t>Shareable URL-synchronised search</w:t>
      </w:r>
    </w:p>
    <w:p>
      <w:pPr>
        <w:spacing w:before="0" w:after="120" w:line="264" w:lineRule="auto"/>
      </w:pPr>
      <w:r>
        <w:rPr>
          <w:rFonts w:ascii="Calibri" w:hAnsi="Calibri"/>
          <w:color w:val="161B22"/>
          <w:sz w:val="22"/>
        </w:rPr>
        <w:t>Search is debounced and server-backed. Suggestions support pointer, touch, and keyboard interaction, then resolve to stable URLs such as /company/vercel. The report can be copied or shared directly, and browser history remains meaningful.</w:t>
      </w:r>
    </w:p>
    <w:p>
      <w:pPr>
        <w:pStyle w:val="Heading2"/>
      </w:pPr>
      <w:r>
        <w:t>Signature motion system</w:t>
      </w:r>
    </w:p>
    <w:p>
      <w:pPr>
        <w:spacing w:before="0" w:after="120" w:line="264" w:lineRule="auto"/>
      </w:pPr>
      <w:r>
        <w:rPr>
          <w:rFonts w:ascii="Calibri" w:hAnsi="Calibri"/>
          <w:color w:val="161B22"/>
          <w:sz w:val="22"/>
        </w:rPr>
        <w:t>The landing page uses pointer-responsive parallax, orbiting source nodes, scroll-triggered reveals, a source constellation, a motion marquee, and a spring-smoothed progress rail. Motion is transform/opacity-oriented and respects reduced-motion preferences. It explains evidence flow and hierarchy rather than acting as decoration alone.</w:t>
      </w:r>
    </w:p>
    <w:p>
      <w:pPr>
        <w:pStyle w:val="Heading1"/>
      </w:pPr>
      <w:r>
        <w:t>5. Experience, accessibility, and performance</w:t>
      </w:r>
    </w:p>
    <w:p>
      <w:pPr>
        <w:pStyle w:val="Heading2"/>
      </w:pPr>
      <w:r>
        <w:t>Loading and failure states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61B22"/>
          <w:sz w:val="21"/>
        </w:rPr>
        <w:t>Report loading uses section-shaped skeletons and shimmer rather than a generic spinner.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61B22"/>
          <w:sz w:val="21"/>
        </w:rPr>
        <w:t>Search has explicit empty and no-match states, with official-domain guidance instead of a fabricated company.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61B22"/>
          <w:sz w:val="21"/>
        </w:rPr>
        <w:t>Evidence panels expose empty, unavailable, and rate-limited states without removing the remaining report.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61B22"/>
          <w:sz w:val="21"/>
        </w:rPr>
        <w:t>Retry actions are available where a user can reasonably retry a transient failure.</w:t>
      </w:r>
    </w:p>
    <w:p>
      <w:pPr>
        <w:pStyle w:val="Heading2"/>
      </w:pPr>
      <w:r>
        <w:t>Accessibility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61B22"/>
          <w:sz w:val="21"/>
        </w:rPr>
        <w:t>Semantic landmarks and heading hierarchy provide a clear document outline.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61B22"/>
          <w:sz w:val="21"/>
        </w:rPr>
        <w:t>Search provides an accessible label, live announcements, keyboard selection, and visible focus states.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61B22"/>
          <w:sz w:val="21"/>
        </w:rPr>
        <w:t>Interactive controls are keyboard reachable and have accessible names.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61B22"/>
          <w:sz w:val="21"/>
        </w:rPr>
        <w:t>Colour contrast targets WCAG AA; source state is communicated with wording and icons, not colour alone.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61B22"/>
          <w:sz w:val="21"/>
        </w:rPr>
        <w:t>Reduced-motion users receive complete content without non-essential animation.</w:t>
      </w:r>
    </w:p>
    <w:p>
      <w:pPr>
        <w:pStyle w:val="Heading2"/>
      </w:pPr>
      <w:r>
        <w:t>Performance choices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61B22"/>
          <w:sz w:val="21"/>
        </w:rPr>
        <w:t>Server Components are the default; client JavaScript is limited to interaction and motion.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61B22"/>
          <w:sz w:val="21"/>
        </w:rPr>
        <w:t>Independent upstream calls run in parallel and slower sections stream behind meaningful Suspense fallbacks.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61B22"/>
          <w:sz w:val="21"/>
        </w:rPr>
        <w:t>Hero text stays server-visible rather than being delayed behind animation.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161B22"/>
          <w:sz w:val="21"/>
        </w:rPr>
        <w:t>Native system typography avoids a render-blocking remote font request.</w:t>
      </w:r>
    </w:p>
    <w:p>
      <w:pPr>
        <w:pStyle w:val="Heading1"/>
      </w:pPr>
      <w:r>
        <w:t>6. Testing and verification</w:t>
      </w:r>
    </w:p>
    <w:p>
      <w:pPr>
        <w:pStyle w:val="Heading2"/>
      </w:pPr>
      <w:r>
        <w:t>Automated release checks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2F6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3447"/>
                <w:sz w:val="19"/>
              </w:rPr>
              <w:t>cd 01-web-app</w:t>
              <w:br/>
            </w:r>
            <w:r>
              <w:rPr>
                <w:rFonts w:ascii="Consolas" w:hAnsi="Consolas"/>
                <w:color w:val="243447"/>
                <w:sz w:val="19"/>
              </w:rPr>
              <w:t>npm run format:check</w:t>
              <w:br/>
            </w:r>
            <w:r>
              <w:rPr>
                <w:rFonts w:ascii="Consolas" w:hAnsi="Consolas"/>
                <w:color w:val="243447"/>
                <w:sz w:val="19"/>
              </w:rPr>
              <w:t>npm run typecheck</w:t>
              <w:br/>
            </w:r>
            <w:r>
              <w:rPr>
                <w:rFonts w:ascii="Consolas" w:hAnsi="Consolas"/>
                <w:color w:val="243447"/>
                <w:sz w:val="19"/>
              </w:rPr>
              <w:t>npm run lint</w:t>
              <w:br/>
            </w:r>
            <w:r>
              <w:rPr>
                <w:rFonts w:ascii="Consolas" w:hAnsi="Consolas"/>
                <w:color w:val="243447"/>
                <w:sz w:val="19"/>
              </w:rPr>
              <w:t>npm run test</w:t>
              <w:br/>
            </w:r>
            <w:r>
              <w:rPr>
                <w:rFonts w:ascii="Consolas" w:hAnsi="Consolas"/>
                <w:color w:val="243447"/>
                <w:sz w:val="19"/>
              </w:rPr>
              <w:t>npm run build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color w:val="161B22"/>
          <w:sz w:val="22"/>
        </w:rPr>
        <w:t>The final local release check passes Prettier formatting, strict TypeScript, zero-warning ESLint, 9 Vitest tests, and the optimized Next.js production build.</w:t>
      </w:r>
    </w:p>
    <w:p>
      <w:pPr>
        <w:pStyle w:val="Heading2"/>
        <w:pageBreakBefore/>
      </w:pPr>
      <w:r>
        <w:t>Manual product checks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Scenario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What was verified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Technology companies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Vercel, Stripe, Perplexity, Nintendo, and OpenAI: identity resolution, GitHub activity, coverage, timeline, and adaptive report layout.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Non-technology companies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Coca-Cola, Toyota, and McDonald's: useful report composition without public developer activity.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Local / less-indexed company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Alba Corporation UAE: official-domain discovery, structured website identity, UAE country context, and source-aware brief.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No match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Nonsense query: clear no-match state with official-domain guidance.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Search interaction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Seven-result Toyota dropdown: pointer scrolling, keyboard navigation to final item, and mobile-width behaviour.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Source degradation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Missing-key and unavailable-source states preserve the rest of the report shell and evidence.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Responsive layout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No horizontal overflow at 360, 768, 1024, 1440, and 2560 px.</w:t>
            </w:r>
          </w:p>
        </w:tc>
      </w:tr>
    </w:tbl>
    <w:p>
      <w:pPr>
        <w:spacing w:after="40"/>
      </w:pPr>
    </w:p>
    <w:p>
      <w:pPr>
        <w:pStyle w:val="Heading2"/>
      </w:pPr>
      <w:r>
        <w:t>Lighthouse result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200"/>
        <w:gridCol w:w="3160"/>
      </w:tblGrid>
      <w:tr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Category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Score</w:t>
            </w:r>
          </w:p>
        </w:tc>
      </w:tr>
      <w:tr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20"/>
              </w:rPr>
              <w:t>Performance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20"/>
              </w:rPr>
              <w:t>97</w:t>
            </w:r>
          </w:p>
        </w:tc>
      </w:tr>
      <w:tr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20"/>
              </w:rPr>
              <w:t>Accessibility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20"/>
              </w:rPr>
              <w:t>100</w:t>
            </w:r>
          </w:p>
        </w:tc>
      </w:tr>
      <w:tr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20"/>
              </w:rPr>
              <w:t>Best Practices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20"/>
              </w:rPr>
              <w:t>100</w:t>
            </w:r>
          </w:p>
        </w:tc>
      </w:tr>
      <w:tr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20"/>
              </w:rPr>
              <w:t>SEO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20"/>
              </w:rPr>
              <w:t>100</w:t>
            </w:r>
          </w:p>
        </w:tc>
      </w:tr>
    </w:tbl>
    <w:p>
      <w:pPr>
        <w:spacing w:after="40"/>
      </w:pPr>
    </w:p>
    <w:p>
      <w:pPr>
        <w:pStyle w:val="SmallNote"/>
      </w:pPr>
      <w:r>
        <w:rPr>
          <w:rFonts w:ascii="Calibri" w:hAnsi="Calibri"/>
          <w:i/>
          <w:color w:val="5E6B7A"/>
          <w:sz w:val="18"/>
        </w:rPr>
        <w:t>Observed mobile metrics: LCP 2.6 s, CLS 0, TBT 10 ms.</w:t>
      </w:r>
    </w:p>
    <w:p>
      <w:pPr>
        <w:pStyle w:val="Heading2"/>
      </w:pPr>
      <w:r>
        <w:t>Remaining release checks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color w:val="161B22"/>
          <w:sz w:val="21"/>
        </w:rPr>
        <w:t>Deploy through Vercel with Root Directory set to 01-web-app.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color w:val="161B22"/>
          <w:sz w:val="21"/>
        </w:rPr>
        <w:t>Add production environment variables from .env.example.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color w:val="161B22"/>
          <w:sz w:val="21"/>
        </w:rPr>
        <w:t>Set NEXT_PUBLIC_APP_URL to the final deployment URL and redeploy.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color w:val="161B22"/>
          <w:sz w:val="21"/>
        </w:rPr>
        <w:t>Smoke-test /, /company/vercel, /api/company/vercel, /robots.txt, /sitemap.xml, and the social card in a signed-out browser.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color w:val="161B22"/>
          <w:sz w:val="21"/>
        </w:rPr>
        <w:t>Record a short walkthrough showing the search flow, a multi-source result, and one engineering challenge.</w:t>
      </w:r>
    </w:p>
    <w:p>
      <w:pPr>
        <w:pStyle w:val="Heading1"/>
        <w:pageBreakBefore/>
      </w:pPr>
      <w:r>
        <w:t>7. Environment and local setup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2F6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3447"/>
                <w:sz w:val="19"/>
              </w:rPr>
              <w:t>cd 01-web-app</w:t>
              <w:br/>
            </w:r>
            <w:r>
              <w:rPr>
                <w:rFonts w:ascii="Consolas" w:hAnsi="Consolas"/>
                <w:color w:val="243447"/>
                <w:sz w:val="19"/>
              </w:rPr>
              <w:t>npm install</w:t>
              <w:br/>
            </w:r>
            <w:r>
              <w:rPr>
                <w:rFonts w:ascii="Consolas" w:hAnsi="Consolas"/>
                <w:color w:val="243447"/>
                <w:sz w:val="19"/>
              </w:rPr>
              <w:t>cp .env.example .env.local</w:t>
              <w:br/>
            </w:r>
            <w:r>
              <w:rPr>
                <w:rFonts w:ascii="Consolas" w:hAnsi="Consolas"/>
                <w:color w:val="243447"/>
                <w:sz w:val="19"/>
              </w:rPr>
              <w:t>npm run dev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900"/>
        <w:gridCol w:w="1750"/>
        <w:gridCol w:w="4710"/>
      </w:tblGrid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Variable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Required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Purpose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GEMINI_API_KEY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For AI briefs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Server-side Gemini access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REST_COUNTRIES_API_KEY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For country context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REST Countries v5 access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GITHUB_TOKEN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No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Raises public GitHub API rate limits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NEXT_PUBLIC_APP_URL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In production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Canonical metadata and sitemap URL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NEXT_PUBLIC_SOURCE_URL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In production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Public repository link in the header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GEMINI_MODEL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No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Optional Gemini model override</w:t>
            </w:r>
          </w:p>
        </w:tc>
      </w:tr>
    </w:tbl>
    <w:p>
      <w:pPr>
        <w:spacing w:after="40"/>
      </w:pPr>
    </w:p>
    <w:p>
      <w:pPr>
        <w:pStyle w:val="SmallNote"/>
      </w:pPr>
      <w:r>
        <w:rPr>
          <w:rFonts w:ascii="Calibri" w:hAnsi="Calibri"/>
          <w:i/>
          <w:color w:val="5E6B7A"/>
          <w:sz w:val="18"/>
        </w:rPr>
        <w:t>Security note: never commit .env.local or a real credential. Only .env.example is versioned.</w:t>
      </w:r>
    </w:p>
    <w:p>
      <w:pPr>
        <w:pStyle w:val="Heading1"/>
      </w:pPr>
      <w:r>
        <w:t>8. Repository guide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Location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Purpose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app/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App Router pages, API routes, metadata routes, loading, and error boundaries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components/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Small landing, report, interaction, motion, and UI components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services/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Server-only provider adapters and orchestration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lib/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Typed contracts, normalisation, formatting, and request utilities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docs/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Product, technical, design, test, deployment, and submission documentation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BUILD_LOG.md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61B22"/>
                <w:sz w:val="18"/>
              </w:rPr>
              <w:t>Concise engineering decision journal for the assessment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color w:val="161B22"/>
          <w:sz w:val="22"/>
        </w:rPr>
        <w:t>For deeper implementation references, see the PRD, technical specification, UI/UX specification, test plan, deployment guide, and assessment checklist in the docs directory.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right"/>
    </w:pPr>
    <w:r>
      <w:rPr>
        <w:rFonts w:ascii="Calibri" w:hAnsi="Calibri"/>
        <w:color w:val="5E6B7A"/>
        <w:sz w:val="17"/>
      </w:rPr>
      <w:t xml:space="preserve">Alba Assessment  |  July 2026  |  Page </w:t>
    </w:r>
    <w:r>
      <w:rPr>
        <w:rFonts w:ascii="Calibri" w:hAnsi="Calibri"/>
        <w:color w:val="5E6B7A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Calibri" w:hAnsi="Calibri"/>
        <w:b/>
        <w:color w:val="0B2545"/>
        <w:sz w:val="17"/>
      </w:rPr>
      <w:t>SIGNAL</w:t>
    </w:r>
    <w:r>
      <w:rPr>
        <w:rFonts w:ascii="Calibri" w:hAnsi="Calibri"/>
        <w:color w:val="5E6B7A"/>
        <w:sz w:val="17"/>
      </w:rPr>
      <w:t xml:space="preserve">  |  TECHNICAL &amp; PRODUCT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61B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5E6B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00" w:line="252" w:lineRule="auto"/>
    </w:pPr>
    <w:rPr>
      <w:rFonts w:ascii="Calibri" w:hAnsi="Calibri"/>
      <w:color w:val="5E6B7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Signal — Technical &amp; Product Documentation</dc:title>
  <dc:subject>Alba Assessment submission documentation</dc:subject>
  <dc:creator>Signal</dc:creator>
  <cp:keywords/>
  <dc:description>Editable Word document generated from the Signal submission documentation.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