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5E"/>
        </w:rPr>
        <w:t>Conserved-Site Structural-Bioinformatics Pipeline — TYMS / dUMP Worked Example</w:t>
      </w:r>
    </w:p>
    <w:p>
      <w:pPr>
        <w:jc w:val="center"/>
      </w:pPr>
      <w:r>
        <w:rPr>
          <w:i/>
        </w:rPr>
        <w:t>Generated 2026-05-12 · Human Thymidylate Synthase (UniProt P04818, PDB 1HVY) · Natural substrate dUMP</w:t>
      </w:r>
    </w:p>
    <w:p>
      <w:pPr>
        <w:pStyle w:val="Heading1"/>
      </w:pPr>
      <w:r>
        <w:t>Executive summary</w:t>
      </w:r>
    </w:p>
    <w:p>
      <w:r>
        <w:rPr>
          <w:b w:val="0"/>
          <w:i w:val="0"/>
        </w:rPr>
        <w:t>End-to-end automated structural-bioinformatics pipeline that takes a single small/medium enzyme from a UniProt accession to a conservation-aware docking-and-mutagenesis report. The worked example is human Thymidylate Synthase (TYMS), the molecular target of 5-fluorouracil in colorectal-cancer chemotherapy, docked against its natural substrate dUMP from PDB 1HVY (1.9 Å), with a 21-mutant probe panel and a distant-surface negative control. The pipeline executes 9 stages headlessly, produces 31 ray-traced PNGs, a full results table, and an HTML/PDF/DOCX report. The pipeline was subsequently audited by four specialised review agents (validator, code reviewer, scientific officer, structural bioinformatician); their verdicts and the residual limitations are reproduced verbatim in the dedicated section below.</w:t>
      </w:r>
    </w:p>
    <w:p>
      <w:pPr>
        <w:pStyle w:val="Heading1"/>
      </w:pPr>
      <w:r>
        <w:t>Workflow</w:t>
      </w:r>
    </w:p>
    <w:p>
      <w:r>
        <w:rPr>
          <w:b w:val="0"/>
          <w:i w:val="0"/>
        </w:rPr>
        <w:t>Nine sequential stages, each isolated in its own numbered subfolder.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Pipeline workflow. Each stage is implemented as one Python script in scripts/.</w:t>
      </w:r>
    </w:p>
    <w:p>
      <w:pPr>
        <w:pStyle w:val="Heading1"/>
      </w:pPr>
      <w:r>
        <w:t>1. Target &amp; rationale</w:t>
      </w:r>
    </w:p>
    <w:p>
      <w:r>
        <w:rPr>
          <w:b w:val="0"/>
          <w:i w:val="0"/>
        </w:rPr>
        <w:t>Human TYMS (UniProt P04818, 313 aa) is the molecular target of 5-fluorouracil (5-FU), the backbone of CRC chemotherapy for &gt;50 years. PDB 1HVY (1.9 Å resolution) is the human enzyme co-crystallised with its natural substrate dUMP (residue name UMP) and the antifolate raltitrexed (residue D16) occupying the cofactor pocket. The dUMP-binding site is small (≤ 12 × 9 × 5 Å), well-defined, and its catalytic residues are experimentally characterised (Cys195 nucleophile, Arg phosphate clamp, His196/Asn226/Tyr135 proton/orientation network).</w:t>
      </w:r>
    </w:p>
    <w:p>
      <w:pPr>
        <w:pStyle w:val="Heading1"/>
      </w:pPr>
      <w:r>
        <w:t>2. Cross-species multiple sequence alignment &amp; conservation</w:t>
      </w:r>
    </w:p>
    <w:p>
      <w:r>
        <w:rPr>
          <w:b w:val="0"/>
          <w:i w:val="0"/>
        </w:rPr>
        <w:t>Stage 1 fetches a panel of orthologs from UniProt by REST, aligns them with MAFFT (--auto), and computes a per-residue Jensen-Shannon divergence score (Capra &amp; Singh 2007 with Robinson-Robinson background; reference numbering = ungapped P04818).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98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rvation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Per-residue Jensen-Shannon conservation along human TYMS (top-10% peaks highlighted).</w:t>
      </w:r>
    </w:p>
    <w:p>
      <w:pPr>
        <w:pStyle w:val="Heading1"/>
      </w:pPr>
      <w:r>
        <w:t>3. Active-site identification &amp; overlap with conservation</w:t>
      </w:r>
    </w:p>
    <w:p>
      <w:r>
        <w:rPr>
          <w:b w:val="0"/>
          <w:i w:val="0"/>
        </w:rPr>
        <w:t>Stage 2 collects active-site residues from two database sources — UniProt features (Active site / Binding site / Site) and the PDBe ligand-binding-graph API for 1HVY — and intersects them with the top-25 % of conserved residues from Stage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p_fig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Overlap between database-annotated active-site residues and conservation peaks.</w:t>
      </w:r>
    </w:p>
    <w:p>
      <w:pPr>
        <w:pStyle w:val="Heading1"/>
      </w:pPr>
      <w:r>
        <w:t>4. Structural visualisations</w:t>
      </w:r>
    </w:p>
    <w:p>
      <w:r>
        <w:rPr>
          <w:b w:val="0"/>
          <w:i w:val="0"/>
        </w:rPr>
        <w:t>All four renders below were produced headlessly by the brewed PyMOL 3.1.0 binary via subprocess; no GUI was opened. Renders are 1600×1200 ray-traced.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Whole-protein surface + dUMP + active-site sticks (chain 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ose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Active-site closeup with residue labels.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serv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Cartoon coloured by Jensen-Shannon conservation (blue = low, red = high).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Surface cavity view (cavity_mode = 1).</w:t>
      </w:r>
    </w:p>
    <w:p>
      <w:pPr>
        <w:pStyle w:val="Heading1"/>
      </w:pPr>
      <w:r>
        <w:t>5. Wild-type docking</w:t>
      </w:r>
    </w:p>
    <w:p>
      <w:r>
        <w:rPr>
          <w:b w:val="0"/>
          <w:i w:val="0"/>
        </w:rPr>
        <w:t>AutoDock Vina 1.2.7. Box: 22³ Å centred on the active-site Cα centroid. Exhaustiveness 16, num_modes 20, seed 42. WT top affinity: -7.729 kcal/mol; mean of top-3: -7.559666666666668 kcal/mol; top-pose heavy-atom RMSD vs crystal dUMP: 1.0808481109093717 Å (a credible positive control for the box).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_topdo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Wild-type receptor with the top docked dUMP pose overlaid on the crystal substrate.</w:t>
      </w:r>
    </w:p>
    <w:p>
      <w:pPr>
        <w:pStyle w:val="Heading1"/>
      </w:pPr>
      <w:r>
        <w:t>6. Mutational probe panel</w:t>
      </w:r>
    </w:p>
    <w:p>
      <w:r>
        <w:rPr>
          <w:b w:val="0"/>
          <w:i w:val="0"/>
        </w:rPr>
        <w:t>21 mutants generated with PyMOL's Mutagenesis Wizard (rotamer pick, no pocket relaxation): 8 alanine-scan singles of the selected active-site set, 7 chemically-opposite singles, 5 mechanism-motivated doubles, and 1 distant-surface negative control (T170A, ~18 Å from the centroid). Every mutant was redocked with the IDENTICAL grid box, exhaustiveness, and seed as the WT run for fair Δ comparison.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</w:tcPr>
          <w:p>
            <w:r/>
            <w:r>
              <w:rPr>
                <w:b/>
                <w:sz w:val="20"/>
              </w:rPr>
              <w:t>Mutant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Top affinity (kcal/mol)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Δ vs WT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RMSD vs crystal (Å)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D218K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opposite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-6.61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+1.12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7.34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Y258A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ala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-6.89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+0.84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4.51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N226A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ala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+0.73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5.88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Y258F_F225Y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double aromatic swap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-7.12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4.43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N226D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opposite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1.09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D218N_N226D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double charge swap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-7.53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1.07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H196A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ala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-7.61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F225D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opposite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-7.62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D218A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ala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-7.63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F80D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opposite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-7.69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1.04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R175E_R176E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double arg clamp swap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-7.69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CTRL_T170A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control surface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-7.69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F225A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ala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-7.70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1.09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WT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wildtype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-7.73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F80A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ala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-7.73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-0.00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1.09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G217A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ala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-7.73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-0.00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1.07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H196F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opposite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-7.73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-0.00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C195A_H196A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double catalytic dyad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-7.83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-0.10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0.87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G217W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opposite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-7.90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-0.17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C195S_H196N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double polar neutral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-7.98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-0.25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C195A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ala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-8.00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-0.27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0.89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C195S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single opposite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-8.11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-0.38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0.55</w:t>
            </w:r>
          </w:p>
        </w:tc>
      </w:tr>
    </w:tbl>
    <w:p>
      <w:pPr>
        <w:pStyle w:val="Heading1"/>
      </w:pPr>
      <w:r>
        <w:t>7.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affinity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Δ Vina score per mutant relative to wild type, colour-coded by mutation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e_substitution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Single-mutant Δ Vina score heatmap (residue × substitution).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rvation_vs_effe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Per-residue conservation (Jensen-Shannon) vs |Δ Vina score|. The flat scatter (r ≈ 0.03) reflects the MSA panel limitation discussed in §10.</w:t>
      </w:r>
    </w:p>
    <w:p>
      <w:pPr>
        <w:pStyle w:val="Heading2"/>
      </w:pPr>
      <w:r>
        <w:t>Written interpretation (verbatim from 08_analysis/analysis.md)</w:t>
      </w:r>
    </w:p>
    <w:p>
      <w:pPr>
        <w:pStyle w:val="Heading2"/>
      </w:pPr>
      <w:r>
        <w:t>Stage 8 Analysis – Human Thymidylate Synthase (P04818) / dUMP</w:t>
      </w:r>
    </w:p>
    <w:p>
      <w:r>
        <w:rPr>
          <w:b w:val="0"/>
          <w:i w:val="0"/>
        </w:rPr>
        <w:t>_Generated 2026-05-12 11:56_</w:t>
      </w:r>
    </w:p>
    <w:p>
      <w:pPr>
        <w:pStyle w:val="Heading3"/>
      </w:pPr>
      <w:r>
        <w:t>Wild-type baseline</w:t>
      </w:r>
    </w:p>
    <w:p>
      <w:pPr>
        <w:pStyle w:val="ListBullet"/>
      </w:pPr>
      <w:r>
        <w:t>Re-docking of dUMP into 1HVY chain A reproduces the crystal pose with RMSD **1.08 Å** (heavy-atom).</w:t>
      </w:r>
    </w:p>
    <w:p>
      <w:pPr>
        <w:pStyle w:val="ListBullet"/>
      </w:pPr>
      <w:r>
        <w:t>Top affinity: **-7.73 kcal/mol**, mean of top-3 poses -7.56 kcal/mol.</w:t>
      </w:r>
    </w:p>
    <w:p>
      <w:pPr>
        <w:pStyle w:val="ListBullet"/>
      </w:pPr>
      <w:r>
        <w:t>The pose recapitulation gives confidence in the box geometry (22³ Å, centred on the catalytic-residue centroid) and parameter set.</w:t>
      </w:r>
    </w:p>
    <w:p>
      <w:pPr>
        <w:pStyle w:val="Heading3"/>
      </w:pPr>
      <w:r>
        <w:t>Mutational panel summary</w:t>
      </w:r>
    </w:p>
    <w:p>
      <w:pPr>
        <w:pStyle w:val="ListBullet"/>
      </w:pPr>
      <w:r>
        <w:t>Total mutants tested: **21** (8 Ala-scan, 7 chemically opposite singles, 5 doubles, 1 distant-surface control).</w:t>
      </w:r>
    </w:p>
    <w:p>
      <w:pPr>
        <w:pStyle w:val="ListBullet"/>
      </w:pPr>
      <w:r>
        <w:t>Δ affinity range: **-0.38** to **+1.12** kcal/mol vs WT.</w:t>
      </w:r>
    </w:p>
    <w:p>
      <w:pPr>
        <w:pStyle w:val="ListBullet"/>
      </w:pPr>
      <w:r>
        <w:t>Mutants with pose displacement (RMSD &gt; 3 Å): D218K, N226A, Y258A, Y258F_F225Y.</w:t>
      </w:r>
    </w:p>
    <w:p>
      <w:pPr>
        <w:pStyle w:val="Heading3"/>
      </w:pPr>
      <w:r>
        <w:t>Most disruptive mutations (largest positive Δ)</w:t>
      </w:r>
    </w:p>
    <w:p>
      <w:pPr>
        <w:pStyle w:val="ListBullet"/>
      </w:pPr>
      <w:r>
        <w:t>**D218K** (single_opposite): Δ=+1.12 kcal/mol, top-pose RMSD 7.34 Å.</w:t>
      </w:r>
    </w:p>
    <w:p>
      <w:pPr>
        <w:pStyle w:val="ListBullet"/>
      </w:pPr>
      <w:r>
        <w:t>**Y258A** (single_ala): Δ=+0.84 kcal/mol, top-pose RMSD 4.51 Å.</w:t>
      </w:r>
    </w:p>
    <w:p>
      <w:pPr>
        <w:pStyle w:val="ListBullet"/>
      </w:pPr>
      <w:r>
        <w:t>**N226A** (single_ala): Δ=+0.73 kcal/mol, top-pose RMSD 5.88 Å.</w:t>
      </w:r>
    </w:p>
    <w:p>
      <w:pPr>
        <w:pStyle w:val="Heading3"/>
      </w:pPr>
      <w:r>
        <w:t>Most affinity-enhancing mutations (largest negative Δ)</w:t>
      </w:r>
    </w:p>
    <w:p>
      <w:pPr>
        <w:pStyle w:val="ListBullet"/>
      </w:pPr>
      <w:r>
        <w:t>**C195S** (single_opposite): Δ=-0.38 kcal/mol, top-pose RMSD 0.55 Å.</w:t>
      </w:r>
    </w:p>
    <w:p>
      <w:pPr>
        <w:pStyle w:val="ListBullet"/>
      </w:pPr>
      <w:r>
        <w:t>**C195A** (single_ala): Δ=-0.27 kcal/mol, top-pose RMSD 0.89 Å.</w:t>
      </w:r>
    </w:p>
    <w:p>
      <w:pPr>
        <w:pStyle w:val="ListBullet"/>
      </w:pPr>
      <w:r>
        <w:t>**C195S_H196N** (double_polar_neutral): Δ=-0.25 kcal/mol, top-pose RMSD 0.65 Å.</w:t>
      </w:r>
    </w:p>
    <w:p>
      <w:pPr>
        <w:pStyle w:val="Heading3"/>
      </w:pPr>
      <w:r>
        <w:t>Catalytic-residue mutants</w:t>
      </w:r>
    </w:p>
    <w:p>
      <w:pPr>
        <w:pStyle w:val="ListBullet"/>
      </w:pPr>
      <w:r>
        <w:t>**C195A**: Δ=-0.27 kcal/mol, RMSD 0.89 Å. Note: rigid-receptor docking of the *substrate* (not a covalent intermediate) does not capture loss of the C195 nucleophile attack — only the local pocket geometry change.</w:t>
      </w:r>
    </w:p>
    <w:p>
      <w:pPr>
        <w:pStyle w:val="ListBullet"/>
      </w:pPr>
      <w:r>
        <w:t>**H196A**: Δ=+0.12 kcal/mol, RMSD 1.08 Å. Note: rigid-receptor docking of the *substrate* (not a covalent intermediate) does not capture loss of the C195 nucleophile attack — only the local pocket geometry change.</w:t>
      </w:r>
    </w:p>
    <w:p>
      <w:pPr>
        <w:pStyle w:val="ListBullet"/>
      </w:pPr>
      <w:r>
        <w:t>**C195A_H196A**: Δ=-0.10 kcal/mol, RMSD 0.87 Å. Note: rigid-receptor docking of the *substrate* (not a covalent intermediate) does not capture loss of the C195 nucleophile attack — only the local pocket geometry change.</w:t>
      </w:r>
    </w:p>
    <w:p>
      <w:pPr>
        <w:pStyle w:val="Heading3"/>
      </w:pPr>
      <w:r>
        <w:t>Distant-surface control</w:t>
        <w:br/>
        <w:t>- **CTRL_T170A**: Δ=+0.04 kcal/mol – essentially zero, validating that observed effects are box/local-active-site driven, not artefacts of receptor preparation.</w:t>
      </w:r>
    </w:p>
    <w:p>
      <w:pPr>
        <w:pStyle w:val="Heading3"/>
      </w:pPr>
      <w:r>
        <w:t>Conservation vs effect</w:t>
      </w:r>
    </w:p>
    <w:p>
      <w:pPr>
        <w:pStyle w:val="ListBullet"/>
      </w:pPr>
      <w:r>
        <w:t>Pearson correlation between per-residue JSD conservation and |Δ affinity| across single mutants: **r = 0.03** (n=15). A weak/positive value is consistent with the observation that TYMS conservation is high *globally* (compact, highly-constrained enzyme), so JSD differences within the active site are small relative to noise from rigid-receptor scoring.</w:t>
      </w:r>
    </w:p>
    <w:p>
      <w:pPr>
        <w:pStyle w:val="Heading3"/>
      </w:pPr>
      <w:r>
        <w:t>Caveats</w:t>
      </w:r>
    </w:p>
    <w:p>
      <w:pPr>
        <w:pStyle w:val="ListBullet"/>
      </w:pPr>
      <w:r>
        <w:t>Vina is rigid-receptor; PyMOL mutagenesis wizard provides only a rotamer pick (no minimization). Effects are an **upper bound** on what rigid docking can detect — major remodelling will be missed.</w:t>
      </w:r>
    </w:p>
    <w:p>
      <w:pPr>
        <w:pStyle w:val="ListBullet"/>
      </w:pPr>
      <w:r>
        <w:t>Substrate-level docking does not model the covalent Michaelis intermediate or the methylene-tetrahydrofolate cofactor; biological loss of activity for C195 mutants will exceed the modest Δ affinity reported here.</w:t>
      </w:r>
    </w:p>
    <w:p>
      <w:pPr>
        <w:pStyle w:val="ListBullet"/>
      </w:pPr>
      <w:r>
        <w:t>Doubles whose constituent singles independently disturb the pocket can compensate (e.g., C195S_H196N's geometry-preserving polar substitution).</w:t>
      </w:r>
    </w:p>
    <w:p>
      <w:pPr>
        <w:pStyle w:val="Heading1"/>
      </w:pPr>
      <w:r>
        <w:t>8. Methods &amp; software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3.11.9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pyenv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AutoDock Vina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1.2.7 (CLI via subprocess)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brewsci/bio/autodock-vina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PyMOL (headless)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3.1.0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homebrew/core/pymol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MAFFT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v7.526 (2024-04)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homebrew/core/mafft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OpenBabel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3.1.0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homebrew/core/open-babel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Biopython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1.87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pypi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RDKit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(from venv freeze)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pypi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Meeko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0.7.1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pypi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WeasyPrint, Jinja2, python-docx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report stack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pypi</w:t>
            </w:r>
          </w:p>
        </w:tc>
      </w:tr>
    </w:tbl>
    <w:p>
      <w:r>
        <w:rPr>
          <w:b w:val="0"/>
          <w:i w:val="0"/>
        </w:rPr>
        <w:t>Full library manifest in 00_setup/installed_libraries.md and 00_setup/pip_freeze.txt.</w:t>
      </w:r>
    </w:p>
    <w:p>
      <w:pPr>
        <w:pStyle w:val="Heading1"/>
      </w:pPr>
      <w:r>
        <w:t>9. Multi-agent audit &amp; known limitations</w:t>
      </w:r>
    </w:p>
    <w:p>
      <w:r>
        <w:rPr>
          <w:b w:val="0"/>
          <w:i w:val="0"/>
        </w:rPr>
        <w:t>Four specialised review agents were spawned in parallel (read-only) after the pipeline completed, each grading a different facet of the output. Their full reports live in the reviews/ directory of the project; this section reproduces only the verdict line and the load-bearing critical findings.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Reviewer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20"/>
              </w:rPr>
              <w:t>Mandate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Validator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File integrity, number reproduction, screenshot reality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PASS with 2 ❌ + 5 ⚠️ flags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Code Reviewer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Python correctness, robustness, reproducibility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12-item punch list (no blockers)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Scientific Officer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Peer-review-grade defensibility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Needs major revision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Structural Bioinformatician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Deep technical methods audit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FAIL</w:t>
            </w:r>
          </w:p>
        </w:tc>
      </w:tr>
    </w:tbl>
    <w:p>
      <w:pPr>
        <w:pStyle w:val="Heading2"/>
      </w:pPr>
      <w:r>
        <w:t>Critical issues that materially affect interpretation</w:t>
      </w:r>
    </w:p>
    <w:p>
      <w:pPr>
        <w:pStyle w:val="ListNumber"/>
      </w:pPr>
      <w:r>
        <w:t>1. The MSA panel was built from the wrong proteins. Of the 9 UniProt accessions used in scripts/stage1_msa.py, only P04818 (human) and P07607 (mouse) are real TYMS. P0CG53 is yeast polyubiquitin, P11849 is a T4-phage photosystem-II-family protein, P04996 is an L. casei membrane protein, P04394 is E. coli ATP synthase. The Jensen-Shannon scores in 01_msa/conservation_scores.csv are therefore noise, and the Stage-2 'top-25%-conserved' intersection had to be augmented manually with literature-known catalytic Cys195/His196 — a step which would not be needed against a real TYMS alignment.</w:t>
      </w:r>
    </w:p>
    <w:p>
      <w:pPr>
        <w:pStyle w:val="ListNumber"/>
      </w:pPr>
      <w:r>
        <w:t>2. TYMS is an obligate homodimer; chain B was discarded. Catalytic residues from the partner subunit (Arg175 / Arg176 clamp the dUMP phosphate) are missing from the docking receptor. The R175E_R176E double mutant in Stage 7 mutates the wrong copy of those arginines.</w:t>
      </w:r>
    </w:p>
    <w:p>
      <w:pPr>
        <w:pStyle w:val="ListNumber"/>
      </w:pPr>
      <w:r>
        <w:t>3. One mutant (G217W) has 9 atomic clashes, the worst at 0.98 Å between Trp CD1 and Val223 CG2. PyMOL's mutagenesis wizard picks the only acceptable rotamer and does no pocket relaxation; the resulting PDB is sterically impossible and any score against it is meaningless.</w:t>
      </w:r>
    </w:p>
    <w:p>
      <w:pPr>
        <w:pStyle w:val="ListNumber"/>
      </w:pPr>
      <w:r>
        <w:t>4. CME43 (covalently modified Cys) was silently dropped during structure cleanup, leaving a 42→44 backbone gap.</w:t>
      </w:r>
    </w:p>
    <w:p>
      <w:pPr>
        <w:pStyle w:val="ListNumber"/>
      </w:pPr>
      <w:r>
        <w:t>5. Cys195 is included in the active-site set despite a JSD percentile of only 36.7 — a consequence of issue #1, not a feature of the enzyme.</w:t>
      </w:r>
    </w:p>
    <w:p>
      <w:pPr>
        <w:pStyle w:val="Heading2"/>
      </w:pPr>
      <w:r>
        <w:t>What still stands</w:t>
      </w:r>
    </w:p>
    <w:p>
      <w:r>
        <w:rPr>
          <w:b w:val="0"/>
          <w:i w:val="0"/>
        </w:rPr>
        <w:t>The docking + mutagenesis half (rigid-receptor Vina, single chain, Gasteiger charges, no minimisation) is internally self-consistent: WT redock RMSD is 1.08 Å, the distant-surface negative control T170A gives ΔVina ≈ 0, and the pose-displacing mutants D218K (RMSD 7.34 Å), Y258A (4.51 Å), and N226A (5.88 Å) behave the way a competent rigid-receptor pipeline would predict. The C195 'scores better than WT' result is acknowledged in §7 as a rigid-receptor artefact and not over-interpreted.</w:t>
      </w:r>
    </w:p>
    <w:p>
      <w:pPr>
        <w:pStyle w:val="Heading2"/>
      </w:pPr>
      <w:r>
        <w:t>Required revisions before external use</w:t>
      </w:r>
    </w:p>
    <w:p>
      <w:pPr>
        <w:pStyle w:val="ListBullet"/>
      </w:pPr>
      <w:r>
        <w:t>Replace 01_msa/input.fa with verified TYMS orthologs only (correct accessions: P00469 L. casei, P0A884 E. coli, P07807 S. cerevisiae CDC21, Q23381 C. elegans, P13922 P. falciparum trimmed to TS domain, P04019 T4 td, plus Arabidopsis Q05762 and an archaeon). Re-run Stages 1, 2, and 8.</w:t>
      </w:r>
    </w:p>
    <w:p>
      <w:pPr>
        <w:pStyle w:val="ListBullet"/>
      </w:pPr>
      <w:r>
        <w:t>Keep both chains A and B in scripts/stage3_structure.py. Re-run Stages 3–7.</w:t>
      </w:r>
    </w:p>
    <w:p>
      <w:pPr>
        <w:pStyle w:val="ListBullet"/>
      </w:pPr>
      <w:r>
        <w:t>Drop or rebuild G217W with side-chain relaxation (PyRosetta or FoldX RepairPDB).</w:t>
      </w:r>
    </w:p>
    <w:p>
      <w:pPr>
        <w:pStyle w:val="ListBullet"/>
      </w:pPr>
      <w:r>
        <w:t>Preserve CME43 by re-mutating to CYS (rename, strip 2-hydroxyethyl atoms) instead of dropping the residue.</w:t>
      </w:r>
    </w:p>
    <w:p>
      <w:pPr>
        <w:pStyle w:val="ListBullet"/>
      </w:pPr>
      <w:r>
        <w:t>Switch ligand charges to AM1-BCC (Meeko mk_prepare_ligand) as the primary path.</w:t>
      </w:r>
    </w:p>
    <w:p>
      <w:pPr>
        <w:pStyle w:val="ListBullet"/>
      </w:pPr>
      <w:r>
        <w:t>Add per-mutant prep-status row in the report so silent meeko/obabel fallbacks are visible.</w:t>
      </w:r>
    </w:p>
    <w:p>
      <w:pPr>
        <w:pStyle w:val="ListBullet"/>
      </w:pPr>
      <w:r>
        <w:t>Add R175A, R176A, R215A, R50A single Ala-scans so the Arg phosphate-clamp claim is actually probed.</w:t>
      </w:r>
    </w:p>
    <w:p>
      <w:pPr>
        <w:pStyle w:val="Heading1"/>
      </w:pPr>
      <w:r>
        <w:t>10. Files in this report</w:t>
      </w:r>
    </w:p>
    <w:p>
      <w:r>
        <w:rPr>
          <w:b w:val="0"/>
          <w:i w:val="0"/>
        </w:rPr>
        <w:t>Master log: pipeline.log</w:t>
      </w:r>
    </w:p>
    <w:p>
      <w:r>
        <w:rPr>
          <w:b w:val="0"/>
          <w:i w:val="0"/>
        </w:rPr>
        <w:t>Master numerical table: 07_mut_docking/results_full.csv</w:t>
      </w:r>
    </w:p>
    <w:p>
      <w:r>
        <w:rPr>
          <w:b w:val="0"/>
          <w:i w:val="0"/>
        </w:rPr>
        <w:t>Reviewer reports: reviews/01_validator.md, reviews/02_code_review.md, reviews/03_scientific_officer.md, reviews/04_structural_bioinformatician.md</w:t>
      </w:r>
    </w:p>
    <w:p>
      <w:r>
        <w:rPr>
          <w:b w:val="0"/>
          <w:i w:val="0"/>
        </w:rPr>
        <w:t>Library manifest: 00_setup/installed_libraries.md</w:t>
      </w:r>
    </w:p>
    <w:p>
      <w:r>
        <w:rPr>
          <w:b w:val="0"/>
          <w:i w:val="0"/>
        </w:rPr>
        <w:t>Source: scripts/stage1_msa.py … stage9b_docx.py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