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TYMS conserved active site — pipeline v2 report</w:t>
      </w:r>
    </w:p>
    <w:p>
      <w:r>
        <w:t>Generated 2026-05-12 12:41</w:t>
      </w:r>
    </w:p>
    <w:p>
      <w:pPr>
        <w:pStyle w:val="Heading1"/>
      </w:pPr>
      <w:r>
        <w:t>v2 vs v1 conclusion</w:t>
      </w:r>
    </w:p>
    <w:p>
      <w:r>
        <w:t>. v1's chain-A-only, force-augmented selection biased the analysis toward 5 residues; v2's gap-corrected, naturally-conserved set of 10 residues better captures the documented dimer interface chemistry.</w:t>
      </w:r>
    </w:p>
    <w:p>
      <w:pPr>
        <w:pStyle w:val="Heading1"/>
      </w:pPr>
      <w:r>
        <w:t>1. MSA &amp; conservation</w:t>
      </w:r>
    </w:p>
    <w:p>
      <w:r>
        <w:t>10 validated TS orthologs (corrected accessions). Sanity catalytic residues: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Residue</w:t>
            </w:r>
          </w:p>
        </w:tc>
        <w:tc>
          <w:tcPr>
            <w:tcW w:type="dxa" w:w="2880"/>
          </w:tcPr>
          <w:p>
            <w:r>
              <w:t>JSD</w:t>
            </w:r>
          </w:p>
        </w:tc>
        <w:tc>
          <w:tcPr>
            <w:tcW w:type="dxa" w:w="2880"/>
          </w:tcPr>
          <w:p>
            <w:r>
              <w:t>Percentile</w:t>
            </w:r>
          </w:p>
        </w:tc>
      </w:tr>
      <w:tr>
        <w:tc>
          <w:tcPr>
            <w:tcW w:type="dxa" w:w="2880"/>
          </w:tcPr>
          <w:p>
            <w:r>
              <w:t>50 (R)</w:t>
            </w:r>
          </w:p>
        </w:tc>
        <w:tc>
          <w:tcPr>
            <w:tcW w:type="dxa" w:w="2880"/>
          </w:tcPr>
          <w:p>
            <w:r>
              <w:t>0.219</w:t>
            </w:r>
          </w:p>
        </w:tc>
        <w:tc>
          <w:tcPr>
            <w:tcW w:type="dxa" w:w="2880"/>
          </w:tcPr>
          <w:p>
            <w:r>
              <w:t>94.1</w:t>
            </w:r>
          </w:p>
        </w:tc>
      </w:tr>
      <w:tr>
        <w:tc>
          <w:tcPr>
            <w:tcW w:type="dxa" w:w="2880"/>
          </w:tcPr>
          <w:p>
            <w:r>
              <w:t>175 (R)</w:t>
            </w:r>
          </w:p>
        </w:tc>
        <w:tc>
          <w:tcPr>
            <w:tcW w:type="dxa" w:w="2880"/>
          </w:tcPr>
          <w:p>
            <w:r>
              <w:t>0.209</w:t>
            </w:r>
          </w:p>
        </w:tc>
        <w:tc>
          <w:tcPr>
            <w:tcW w:type="dxa" w:w="2880"/>
          </w:tcPr>
          <w:p>
            <w:r>
              <w:t>89.5</w:t>
            </w:r>
          </w:p>
        </w:tc>
      </w:tr>
      <w:tr>
        <w:tc>
          <w:tcPr>
            <w:tcW w:type="dxa" w:w="2880"/>
          </w:tcPr>
          <w:p>
            <w:r>
              <w:t>176 (R)</w:t>
            </w:r>
          </w:p>
        </w:tc>
        <w:tc>
          <w:tcPr>
            <w:tcW w:type="dxa" w:w="2880"/>
          </w:tcPr>
          <w:p>
            <w:r>
              <w:t>0.210</w:t>
            </w:r>
          </w:p>
        </w:tc>
        <w:tc>
          <w:tcPr>
            <w:tcW w:type="dxa" w:w="2880"/>
          </w:tcPr>
          <w:p>
            <w:r>
              <w:t>90.8</w:t>
            </w:r>
          </w:p>
        </w:tc>
      </w:tr>
      <w:tr>
        <w:tc>
          <w:tcPr>
            <w:tcW w:type="dxa" w:w="2880"/>
          </w:tcPr>
          <w:p>
            <w:r>
              <w:t>195 (C)</w:t>
            </w:r>
          </w:p>
        </w:tc>
        <w:tc>
          <w:tcPr>
            <w:tcW w:type="dxa" w:w="2880"/>
          </w:tcPr>
          <w:p>
            <w:r>
              <w:t>0.253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  <w:tr>
        <w:tc>
          <w:tcPr>
            <w:tcW w:type="dxa" w:w="2880"/>
          </w:tcPr>
          <w:p>
            <w:r>
              <w:t>196 (H)</w:t>
            </w:r>
          </w:p>
        </w:tc>
        <w:tc>
          <w:tcPr>
            <w:tcW w:type="dxa" w:w="2880"/>
          </w:tcPr>
          <w:p>
            <w:r>
              <w:t>0.227</w:t>
            </w:r>
          </w:p>
        </w:tc>
        <w:tc>
          <w:tcPr>
            <w:tcW w:type="dxa" w:w="2880"/>
          </w:tcPr>
          <w:p>
            <w:r>
              <w:t>96.1</w:t>
            </w:r>
          </w:p>
        </w:tc>
      </w:tr>
      <w:tr>
        <w:tc>
          <w:tcPr>
            <w:tcW w:type="dxa" w:w="2880"/>
          </w:tcPr>
          <w:p>
            <w:r>
              <w:t>215 (R)</w:t>
            </w:r>
          </w:p>
        </w:tc>
        <w:tc>
          <w:tcPr>
            <w:tcW w:type="dxa" w:w="2880"/>
          </w:tcPr>
          <w:p>
            <w:r>
              <w:t>0.219</w:t>
            </w:r>
          </w:p>
        </w:tc>
        <w:tc>
          <w:tcPr>
            <w:tcW w:type="dxa" w:w="2880"/>
          </w:tcPr>
          <w:p>
            <w:r>
              <w:t>94.4</w:t>
            </w:r>
          </w:p>
        </w:tc>
      </w:tr>
      <w:tr>
        <w:tc>
          <w:tcPr>
            <w:tcW w:type="dxa" w:w="2880"/>
          </w:tcPr>
          <w:p>
            <w:r>
              <w:t>226 (N)</w:t>
            </w:r>
          </w:p>
        </w:tc>
        <w:tc>
          <w:tcPr>
            <w:tcW w:type="dxa" w:w="2880"/>
          </w:tcPr>
          <w:p>
            <w:r>
              <w:t>0.229</w:t>
            </w:r>
          </w:p>
        </w:tc>
        <w:tc>
          <w:tcPr>
            <w:tcW w:type="dxa" w:w="2880"/>
          </w:tcPr>
          <w:p>
            <w:r>
              <w:t>97.1</w:t>
            </w:r>
          </w:p>
        </w:tc>
      </w:tr>
      <w:tr>
        <w:tc>
          <w:tcPr>
            <w:tcW w:type="dxa" w:w="2880"/>
          </w:tcPr>
          <w:p>
            <w:r>
              <w:t>258 (Y)</w:t>
            </w:r>
          </w:p>
        </w:tc>
        <w:tc>
          <w:tcPr>
            <w:tcW w:type="dxa" w:w="2880"/>
          </w:tcPr>
          <w:p>
            <w:r>
              <w:t>0.178</w:t>
            </w:r>
          </w:p>
        </w:tc>
        <w:tc>
          <w:tcPr>
            <w:tcW w:type="dxa" w:w="2880"/>
          </w:tcPr>
          <w:p>
            <w:r>
              <w:t>64.1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1783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ervation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Active site selection</w:t>
      </w:r>
    </w:p>
    <w:p>
      <w:r>
        <w:t>Selected residues (DB ∩ top-25% conserved, no augmentation): [50, 109, 175, 176, 195, 196, 214, 215, 225, 226]</w:t>
      </w:r>
    </w:p>
    <w:p>
      <w:pPr>
        <w:pStyle w:val="Heading1"/>
      </w:pPr>
      <w:r>
        <w:t>3. Structural model — dimer</w:t>
      </w:r>
    </w:p>
    <w:p>
      <w:r>
        <w:t>Chains A + B retained; CME43 → CYS43 restored.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er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 — TS dimer with conservation b-factor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e_site_chai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 — Chain A active site close-up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ytic_dy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 — Catalytic dyad labelled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ervation_surf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 — Conservation surface</w:t>
      </w:r>
    </w:p>
    <w:p>
      <w:pPr>
        <w:pStyle w:val="Heading1"/>
      </w:pPr>
      <w:r>
        <w:t>4. WT docking — apo vs holo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Condition</w:t>
            </w:r>
          </w:p>
        </w:tc>
        <w:tc>
          <w:tcPr>
            <w:tcW w:type="dxa" w:w="2160"/>
          </w:tcPr>
          <w:p>
            <w:r>
              <w:t>Top aff</w:t>
            </w:r>
          </w:p>
        </w:tc>
        <w:tc>
          <w:tcPr>
            <w:tcW w:type="dxa" w:w="2160"/>
          </w:tcPr>
          <w:p>
            <w:r>
              <w:t>Mean top-3</w:t>
            </w:r>
          </w:p>
        </w:tc>
        <w:tc>
          <w:tcPr>
            <w:tcW w:type="dxa" w:w="2160"/>
          </w:tcPr>
          <w:p>
            <w:r>
              <w:t>RMSD vs native</w:t>
            </w:r>
          </w:p>
        </w:tc>
      </w:tr>
      <w:tr>
        <w:tc>
          <w:tcPr>
            <w:tcW w:type="dxa" w:w="2160"/>
          </w:tcPr>
          <w:p>
            <w:r>
              <w:t>WT apo</w:t>
            </w:r>
          </w:p>
        </w:tc>
        <w:tc>
          <w:tcPr>
            <w:tcW w:type="dxa" w:w="2160"/>
          </w:tcPr>
          <w:p>
            <w:r>
              <w:t>-6.80</w:t>
            </w:r>
          </w:p>
        </w:tc>
        <w:tc>
          <w:tcPr>
            <w:tcW w:type="dxa" w:w="2160"/>
          </w:tcPr>
          <w:p>
            <w:r>
              <w:t>-6.58</w:t>
            </w:r>
          </w:p>
        </w:tc>
        <w:tc>
          <w:tcPr>
            <w:tcW w:type="dxa" w:w="2160"/>
          </w:tcPr>
          <w:p>
            <w:r>
              <w:t>5.60</w:t>
            </w:r>
          </w:p>
        </w:tc>
      </w:tr>
      <w:tr>
        <w:tc>
          <w:tcPr>
            <w:tcW w:type="dxa" w:w="2160"/>
          </w:tcPr>
          <w:p>
            <w:r>
              <w:t>WT holo</w:t>
            </w:r>
          </w:p>
        </w:tc>
        <w:tc>
          <w:tcPr>
            <w:tcW w:type="dxa" w:w="2160"/>
          </w:tcPr>
          <w:p>
            <w:r>
              <w:t>-3.21</w:t>
            </w:r>
          </w:p>
        </w:tc>
        <w:tc>
          <w:tcPr>
            <w:tcW w:type="dxa" w:w="2160"/>
          </w:tcPr>
          <w:p>
            <w:r>
              <w:t>-1.69</w:t>
            </w:r>
          </w:p>
        </w:tc>
        <w:tc>
          <w:tcPr>
            <w:tcW w:type="dxa" w:w="2160"/>
          </w:tcPr>
          <w:p>
            <w:r>
              <w:t>4.32</w:t>
            </w:r>
          </w:p>
        </w:tc>
      </w:tr>
    </w:tbl>
    <w:p>
      <w:pPr>
        <w:pStyle w:val="Heading1"/>
      </w:pPr>
      <w:r>
        <w:t>5. Mutant panel results</w:t>
      </w:r>
    </w:p>
    <w:p>
      <w:r>
        <w:drawing>
          <wp:inline xmlns:a="http://schemas.openxmlformats.org/drawingml/2006/main" xmlns:pic="http://schemas.openxmlformats.org/drawingml/2006/picture">
            <wp:extent cx="5486400" cy="19594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g_apo_hol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 — ΔΔG apo vs holo bar chart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g_apo_vs_hol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 — Apo vs Holo ΔΔG correlation</w:t>
      </w:r>
    </w:p>
    <w:p>
      <w:r>
        <w:drawing>
          <wp:inline xmlns:a="http://schemas.openxmlformats.org/drawingml/2006/main" xmlns:pic="http://schemas.openxmlformats.org/drawingml/2006/picture">
            <wp:extent cx="5486400" cy="24938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g_by_categ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8 — ΔΔG by category</w:t>
      </w:r>
    </w:p>
    <w:p>
      <w:r>
        <w:t>Top-5 destabilising apo: [('Q214A', 0.1299999999999999), ('R50E', -0.2039999999999997), ('R50A', -0.2690000000000001), ('Y258F_F225Y', -0.2830000000000003), ('R175E', -0.3029999999999999)]</w:t>
      </w:r>
    </w:p>
    <w:p>
      <w:r>
        <w:t>Top-5 destabilising holo: [('H196A', -1.1690000000000005), ('T170A', -1.2700000000000005), ('R50E', -2.173), ('N226D', -2.6879999999999997), ('R50A', -2.7910000000000004)]</w:t>
      </w:r>
    </w:p>
    <w:p>
      <w:pPr>
        <w:pStyle w:val="Heading1"/>
      </w:pPr>
      <w:r>
        <w:t>7. Reproducibility</w:t>
      </w:r>
    </w:p>
    <w:p>
      <w:r>
        <w:t>Vina 1.2.7 — exhaustiveness 32, num_modes 20, seed 42, box 18^3 A. MAFFT --auto. PyMOL 3.1.0 headless. Open Babel 3.x.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